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7DD" w:rsidRPr="001A17DD" w:rsidRDefault="001A17DD" w:rsidP="001A17DD">
      <w:pPr>
        <w:spacing w:after="0" w:line="240" w:lineRule="auto"/>
        <w:ind w:left="11199"/>
        <w:jc w:val="center"/>
        <w:rPr>
          <w:rFonts w:ascii="Times New Roman" w:eastAsia="Times New Roman" w:hAnsi="Times New Roman" w:cs="Times New Roman"/>
          <w:sz w:val="24"/>
          <w:szCs w:val="24"/>
          <w:lang w:eastAsia="ru-RU"/>
        </w:rPr>
      </w:pPr>
      <w:r w:rsidRPr="001A17DD">
        <w:rPr>
          <w:rFonts w:ascii="Times New Roman" w:eastAsia="Times New Roman" w:hAnsi="Times New Roman" w:cs="Times New Roman"/>
          <w:sz w:val="24"/>
          <w:szCs w:val="24"/>
          <w:lang w:eastAsia="ru-RU"/>
        </w:rPr>
        <w:t>Приложение 2</w:t>
      </w:r>
    </w:p>
    <w:p w:rsidR="001A17DD" w:rsidRPr="001A17DD" w:rsidRDefault="001A17DD" w:rsidP="001A17DD">
      <w:pPr>
        <w:spacing w:after="0" w:line="240" w:lineRule="auto"/>
        <w:ind w:left="11340"/>
        <w:rPr>
          <w:rFonts w:ascii="Times New Roman" w:eastAsia="Times New Roman" w:hAnsi="Times New Roman" w:cs="Times New Roman"/>
          <w:szCs w:val="20"/>
          <w:lang w:eastAsia="ru-RU"/>
        </w:rPr>
      </w:pPr>
      <w:r>
        <w:rPr>
          <w:rFonts w:ascii="Times New Roman" w:eastAsia="Times New Roman" w:hAnsi="Times New Roman" w:cs="Times New Roman"/>
          <w:sz w:val="24"/>
          <w:szCs w:val="24"/>
          <w:lang w:eastAsia="ru-RU"/>
        </w:rPr>
        <w:t xml:space="preserve">              </w:t>
      </w:r>
      <w:bookmarkStart w:id="0" w:name="_GoBack"/>
      <w:bookmarkEnd w:id="0"/>
      <w:r w:rsidRPr="001A17DD">
        <w:rPr>
          <w:rFonts w:ascii="Times New Roman" w:eastAsia="Times New Roman" w:hAnsi="Times New Roman" w:cs="Times New Roman"/>
          <w:sz w:val="24"/>
          <w:szCs w:val="24"/>
          <w:lang w:eastAsia="ru-RU"/>
        </w:rPr>
        <w:t>к Объявлению</w:t>
      </w:r>
    </w:p>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(Форма)</w:t>
      </w:r>
    </w:p>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_________________________________________________________</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(наименование частной образовательной организации, ИНН)</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 w:name="P432"/>
      <w:bookmarkEnd w:id="1"/>
      <w:r w:rsidRPr="001A17DD">
        <w:rPr>
          <w:rFonts w:ascii="Times New Roman" w:eastAsia="Times New Roman" w:hAnsi="Times New Roman" w:cs="Times New Roman"/>
          <w:b/>
          <w:sz w:val="24"/>
          <w:szCs w:val="20"/>
          <w:lang w:eastAsia="ru-RU"/>
        </w:rPr>
        <w:t>Смета затрат</w:t>
      </w:r>
      <w:r w:rsidRPr="001A17DD">
        <w:rPr>
          <w:rFonts w:ascii="Times New Roman" w:eastAsia="Times New Roman" w:hAnsi="Times New Roman" w:cs="Times New Roman"/>
          <w:szCs w:val="20"/>
          <w:lang w:eastAsia="ru-RU"/>
        </w:rPr>
        <w:t xml:space="preserve">, </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roofErr w:type="gramStart"/>
      <w:r w:rsidRPr="001A17DD">
        <w:rPr>
          <w:rFonts w:ascii="Times New Roman" w:eastAsia="Times New Roman" w:hAnsi="Times New Roman" w:cs="Times New Roman"/>
          <w:szCs w:val="20"/>
          <w:lang w:eastAsia="ru-RU"/>
        </w:rPr>
        <w:t>связанных</w:t>
      </w:r>
      <w:proofErr w:type="gramEnd"/>
      <w:r w:rsidRPr="001A17DD">
        <w:rPr>
          <w:rFonts w:ascii="Times New Roman" w:eastAsia="Times New Roman" w:hAnsi="Times New Roman" w:cs="Times New Roman"/>
          <w:szCs w:val="20"/>
          <w:lang w:eastAsia="ru-RU"/>
        </w:rPr>
        <w:t xml:space="preserve"> с содержанием имущества и оказанием</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услуг по присмотру и уходу за детьми,</w:t>
      </w:r>
    </w:p>
    <w:p w:rsidR="001A17DD" w:rsidRPr="001A17DD" w:rsidRDefault="001A17DD" w:rsidP="001A17DD">
      <w:pPr>
        <w:widowControl w:val="0"/>
        <w:autoSpaceDE w:val="0"/>
        <w:autoSpaceDN w:val="0"/>
        <w:spacing w:after="0" w:line="240" w:lineRule="auto"/>
        <w:jc w:val="center"/>
        <w:rPr>
          <w:rFonts w:ascii="Times New Roman" w:eastAsia="Calibri" w:hAnsi="Times New Roman" w:cs="Times New Roman"/>
          <w:b/>
          <w:bCs/>
          <w:sz w:val="27"/>
          <w:szCs w:val="27"/>
          <w:lang w:eastAsia="ru-RU"/>
        </w:rPr>
      </w:pPr>
      <w:r w:rsidRPr="001A17DD">
        <w:rPr>
          <w:rFonts w:ascii="Times New Roman" w:eastAsia="Times New Roman" w:hAnsi="Times New Roman" w:cs="Times New Roman"/>
          <w:szCs w:val="20"/>
          <w:lang w:eastAsia="ru-RU"/>
        </w:rPr>
        <w:t>за период с "__" _______ 20__ года по "__" _______ 20__ года</w:t>
      </w:r>
    </w:p>
    <w:p w:rsidR="001A17DD" w:rsidRPr="001A17DD" w:rsidRDefault="001A17DD" w:rsidP="001A17DD">
      <w:pPr>
        <w:spacing w:after="0" w:line="240" w:lineRule="auto"/>
        <w:jc w:val="center"/>
        <w:rPr>
          <w:rFonts w:ascii="Times New Roman" w:eastAsia="Calibri" w:hAnsi="Times New Roman" w:cs="Times New Roman"/>
          <w:b/>
          <w:bCs/>
          <w:sz w:val="27"/>
          <w:szCs w:val="27"/>
          <w:lang w:eastAsia="ru-RU"/>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268"/>
        <w:gridCol w:w="340"/>
        <w:gridCol w:w="970"/>
        <w:gridCol w:w="1298"/>
        <w:gridCol w:w="340"/>
        <w:gridCol w:w="290"/>
        <w:gridCol w:w="454"/>
        <w:gridCol w:w="454"/>
        <w:gridCol w:w="510"/>
        <w:gridCol w:w="510"/>
        <w:gridCol w:w="454"/>
        <w:gridCol w:w="510"/>
        <w:gridCol w:w="220"/>
        <w:gridCol w:w="290"/>
        <w:gridCol w:w="510"/>
        <w:gridCol w:w="510"/>
        <w:gridCol w:w="454"/>
        <w:gridCol w:w="510"/>
        <w:gridCol w:w="510"/>
        <w:gridCol w:w="1510"/>
        <w:gridCol w:w="1701"/>
      </w:tblGrid>
      <w:tr w:rsidR="001A17DD" w:rsidRPr="001A17DD" w:rsidTr="00E84404">
        <w:tc>
          <w:tcPr>
            <w:tcW w:w="453" w:type="dxa"/>
            <w:vMerge w:val="restart"/>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N </w:t>
            </w:r>
            <w:proofErr w:type="gramStart"/>
            <w:r w:rsidRPr="001A17DD">
              <w:rPr>
                <w:rFonts w:ascii="Times New Roman" w:eastAsia="Times New Roman" w:hAnsi="Times New Roman" w:cs="Times New Roman"/>
                <w:szCs w:val="20"/>
                <w:lang w:eastAsia="ru-RU"/>
              </w:rPr>
              <w:t>п</w:t>
            </w:r>
            <w:proofErr w:type="gramEnd"/>
            <w:r w:rsidRPr="001A17DD">
              <w:rPr>
                <w:rFonts w:ascii="Times New Roman" w:eastAsia="Times New Roman" w:hAnsi="Times New Roman" w:cs="Times New Roman"/>
                <w:szCs w:val="20"/>
                <w:lang w:eastAsia="ru-RU"/>
              </w:rPr>
              <w:t>/п</w:t>
            </w:r>
          </w:p>
        </w:tc>
        <w:tc>
          <w:tcPr>
            <w:tcW w:w="3578" w:type="dxa"/>
            <w:gridSpan w:val="3"/>
            <w:vMerge w:val="restart"/>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Контингент воспитанников/ </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Виды затрат </w:t>
            </w:r>
            <w:r w:rsidRPr="001A17DD">
              <w:rPr>
                <w:rFonts w:ascii="Times New Roman" w:eastAsia="Times New Roman" w:hAnsi="Times New Roman" w:cs="Times New Roman"/>
                <w:szCs w:val="20"/>
                <w:vertAlign w:val="superscript"/>
                <w:lang w:eastAsia="ru-RU"/>
              </w:rPr>
              <w:footnoteReference w:id="1"/>
            </w:r>
            <w:r w:rsidRPr="001A17DD">
              <w:rPr>
                <w:rFonts w:ascii="Times New Roman" w:eastAsia="Times New Roman" w:hAnsi="Times New Roman" w:cs="Times New Roman"/>
                <w:szCs w:val="20"/>
                <w:lang w:eastAsia="ru-RU"/>
              </w:rPr>
              <w:t xml:space="preserve"> (исходя из плановых расходов)</w:t>
            </w:r>
          </w:p>
        </w:tc>
        <w:tc>
          <w:tcPr>
            <w:tcW w:w="1928" w:type="dxa"/>
            <w:gridSpan w:val="3"/>
            <w:vMerge w:val="restart"/>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Детализация затрат (исходя из подтвержденных расходов)</w:t>
            </w:r>
          </w:p>
        </w:tc>
        <w:tc>
          <w:tcPr>
            <w:tcW w:w="5896" w:type="dxa"/>
            <w:gridSpan w:val="13"/>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Показатели </w:t>
            </w:r>
          </w:p>
        </w:tc>
        <w:tc>
          <w:tcPr>
            <w:tcW w:w="1510" w:type="dxa"/>
            <w:vMerge w:val="restart"/>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17DD">
              <w:rPr>
                <w:rFonts w:ascii="Times New Roman" w:eastAsia="Times New Roman" w:hAnsi="Times New Roman" w:cs="Times New Roman"/>
                <w:sz w:val="20"/>
                <w:szCs w:val="20"/>
                <w:lang w:eastAsia="ru-RU"/>
              </w:rPr>
              <w:t>Обоснование периодичности</w:t>
            </w:r>
            <w:r w:rsidRPr="001A17DD">
              <w:rPr>
                <w:rFonts w:ascii="Times New Roman" w:eastAsia="Times New Roman" w:hAnsi="Times New Roman" w:cs="Times New Roman"/>
                <w:sz w:val="20"/>
                <w:szCs w:val="20"/>
                <w:vertAlign w:val="superscript"/>
                <w:lang w:eastAsia="ru-RU"/>
              </w:rPr>
              <w:footnoteReference w:id="2"/>
            </w:r>
            <w:r w:rsidRPr="001A17DD">
              <w:rPr>
                <w:rFonts w:ascii="Times New Roman" w:eastAsia="Times New Roman" w:hAnsi="Times New Roman" w:cs="Times New Roman"/>
                <w:sz w:val="20"/>
                <w:szCs w:val="20"/>
                <w:lang w:eastAsia="ru-RU"/>
              </w:rPr>
              <w:t xml:space="preserve"> </w:t>
            </w:r>
          </w:p>
        </w:tc>
        <w:tc>
          <w:tcPr>
            <w:tcW w:w="1701" w:type="dxa"/>
            <w:vMerge w:val="restart"/>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Итого по видам затрат, тыс. рублей</w:t>
            </w:r>
          </w:p>
        </w:tc>
      </w:tr>
      <w:tr w:rsidR="001A17DD" w:rsidRPr="001A17DD" w:rsidTr="00E84404">
        <w:tc>
          <w:tcPr>
            <w:tcW w:w="453" w:type="dxa"/>
            <w:vMerge/>
          </w:tcPr>
          <w:p w:rsidR="001A17DD" w:rsidRPr="001A17DD" w:rsidRDefault="001A17DD" w:rsidP="001A17DD">
            <w:pPr>
              <w:rPr>
                <w:rFonts w:ascii="Times New Roman" w:eastAsia="Times New Roman" w:hAnsi="Times New Roman" w:cs="Times New Roman"/>
              </w:rPr>
            </w:pPr>
          </w:p>
        </w:tc>
        <w:tc>
          <w:tcPr>
            <w:tcW w:w="3578" w:type="dxa"/>
            <w:gridSpan w:val="3"/>
            <w:vMerge/>
          </w:tcPr>
          <w:p w:rsidR="001A17DD" w:rsidRPr="001A17DD" w:rsidRDefault="001A17DD" w:rsidP="001A17DD">
            <w:pPr>
              <w:rPr>
                <w:rFonts w:ascii="Times New Roman" w:eastAsia="Times New Roman" w:hAnsi="Times New Roman" w:cs="Times New Roman"/>
              </w:rPr>
            </w:pPr>
          </w:p>
        </w:tc>
        <w:tc>
          <w:tcPr>
            <w:tcW w:w="1928" w:type="dxa"/>
            <w:gridSpan w:val="3"/>
            <w:vMerge/>
          </w:tcPr>
          <w:p w:rsidR="001A17DD" w:rsidRPr="001A17DD" w:rsidRDefault="001A17DD" w:rsidP="001A17DD">
            <w:pPr>
              <w:rPr>
                <w:rFonts w:ascii="Times New Roman" w:eastAsia="Times New Roman" w:hAnsi="Times New Roman" w:cs="Times New Roman"/>
              </w:rPr>
            </w:pPr>
          </w:p>
        </w:tc>
        <w:tc>
          <w:tcPr>
            <w:tcW w:w="454"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I</w:t>
            </w:r>
          </w:p>
        </w:tc>
        <w:tc>
          <w:tcPr>
            <w:tcW w:w="454"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II</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III</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IV</w:t>
            </w:r>
          </w:p>
        </w:tc>
        <w:tc>
          <w:tcPr>
            <w:tcW w:w="454"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V</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VI</w:t>
            </w:r>
          </w:p>
        </w:tc>
        <w:tc>
          <w:tcPr>
            <w:tcW w:w="510"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VII</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VIII</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IX</w:t>
            </w:r>
          </w:p>
        </w:tc>
        <w:tc>
          <w:tcPr>
            <w:tcW w:w="454"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X</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XI</w:t>
            </w:r>
          </w:p>
        </w:tc>
        <w:tc>
          <w:tcPr>
            <w:tcW w:w="510" w:type="dxa"/>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XII</w:t>
            </w: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w:t>
            </w:r>
          </w:p>
        </w:tc>
        <w:tc>
          <w:tcPr>
            <w:tcW w:w="3578" w:type="dxa"/>
            <w:gridSpan w:val="3"/>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2</w:t>
            </w:r>
          </w:p>
        </w:tc>
        <w:tc>
          <w:tcPr>
            <w:tcW w:w="1928" w:type="dxa"/>
            <w:gridSpan w:val="3"/>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3</w:t>
            </w:r>
          </w:p>
        </w:tc>
        <w:tc>
          <w:tcPr>
            <w:tcW w:w="454"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4</w:t>
            </w:r>
          </w:p>
        </w:tc>
        <w:tc>
          <w:tcPr>
            <w:tcW w:w="454"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5</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6</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7</w:t>
            </w:r>
          </w:p>
        </w:tc>
        <w:tc>
          <w:tcPr>
            <w:tcW w:w="454"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8</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9</w:t>
            </w:r>
          </w:p>
        </w:tc>
        <w:tc>
          <w:tcPr>
            <w:tcW w:w="510" w:type="dxa"/>
            <w:gridSpan w:val="2"/>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10</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11</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12</w:t>
            </w:r>
          </w:p>
        </w:tc>
        <w:tc>
          <w:tcPr>
            <w:tcW w:w="454"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13</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4</w:t>
            </w:r>
          </w:p>
        </w:tc>
        <w:tc>
          <w:tcPr>
            <w:tcW w:w="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15</w:t>
            </w:r>
          </w:p>
        </w:tc>
        <w:tc>
          <w:tcPr>
            <w:tcW w:w="1510"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16</w:t>
            </w:r>
          </w:p>
        </w:tc>
        <w:tc>
          <w:tcPr>
            <w:tcW w:w="1701" w:type="dxa"/>
            <w:tcBorders>
              <w:bottom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17</w:t>
            </w:r>
          </w:p>
        </w:tc>
      </w:tr>
      <w:tr w:rsidR="001A17DD" w:rsidRPr="001A17DD" w:rsidTr="00E84404">
        <w:tc>
          <w:tcPr>
            <w:tcW w:w="453"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ind w:left="57"/>
              <w:jc w:val="center"/>
              <w:rPr>
                <w:rFonts w:ascii="Times New Roman" w:eastAsia="Times New Roman" w:hAnsi="Times New Roman" w:cs="Times New Roman"/>
                <w:szCs w:val="20"/>
                <w:lang w:eastAsia="ru-RU"/>
              </w:rPr>
            </w:pPr>
          </w:p>
        </w:tc>
        <w:tc>
          <w:tcPr>
            <w:tcW w:w="3578" w:type="dxa"/>
            <w:gridSpan w:val="3"/>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Информация о контингенте воспитанников в групп</w:t>
            </w:r>
            <w:proofErr w:type="gramStart"/>
            <w:r w:rsidRPr="001A17DD">
              <w:rPr>
                <w:rFonts w:ascii="Times New Roman" w:eastAsia="Times New Roman" w:hAnsi="Times New Roman" w:cs="Times New Roman"/>
                <w:szCs w:val="20"/>
                <w:lang w:eastAsia="ru-RU"/>
              </w:rPr>
              <w:t>е(</w:t>
            </w:r>
            <w:proofErr w:type="gramEnd"/>
            <w:r w:rsidRPr="001A17DD">
              <w:rPr>
                <w:rFonts w:ascii="Times New Roman" w:eastAsia="Times New Roman" w:hAnsi="Times New Roman" w:cs="Times New Roman"/>
                <w:szCs w:val="20"/>
                <w:lang w:eastAsia="ru-RU"/>
              </w:rPr>
              <w:t>ах) сокращенного дня (10 часов пребывания) или группе(ах) полного дня (12 часов</w:t>
            </w:r>
            <w:r w:rsidRPr="001A17DD">
              <w:rPr>
                <w:rFonts w:ascii="Times New Roman" w:eastAsia="Calibri" w:hAnsi="Times New Roman" w:cs="Times New Roman"/>
                <w:lang w:eastAsia="ru-RU"/>
              </w:rPr>
              <w:t xml:space="preserve"> </w:t>
            </w:r>
            <w:r w:rsidRPr="001A17DD">
              <w:rPr>
                <w:rFonts w:ascii="Times New Roman" w:eastAsia="Times New Roman" w:hAnsi="Times New Roman" w:cs="Times New Roman"/>
                <w:szCs w:val="20"/>
                <w:lang w:eastAsia="ru-RU"/>
              </w:rPr>
              <w:t>пребывания)  или группе(ах) продленного дня                           (14 часов</w:t>
            </w:r>
            <w:r w:rsidRPr="001A17DD">
              <w:rPr>
                <w:rFonts w:ascii="Times New Roman" w:eastAsia="Calibri" w:hAnsi="Times New Roman" w:cs="Times New Roman"/>
                <w:lang w:eastAsia="ru-RU"/>
              </w:rPr>
              <w:t xml:space="preserve"> </w:t>
            </w:r>
            <w:r w:rsidRPr="001A17DD">
              <w:rPr>
                <w:rFonts w:ascii="Times New Roman" w:eastAsia="Times New Roman" w:hAnsi="Times New Roman" w:cs="Times New Roman"/>
                <w:szCs w:val="20"/>
                <w:lang w:eastAsia="ru-RU"/>
              </w:rPr>
              <w:t xml:space="preserve">пребывания) в режиме пятидневной рабочей недели, которым планируются к оказанию образовательные услуги, в том числе услуги по присмотру и уходу за детьми, на первое число каждого месяца, в котором планируется </w:t>
            </w:r>
            <w:r w:rsidRPr="001A17DD">
              <w:rPr>
                <w:rFonts w:ascii="Times New Roman" w:eastAsia="Times New Roman" w:hAnsi="Times New Roman" w:cs="Times New Roman"/>
                <w:szCs w:val="20"/>
                <w:lang w:eastAsia="ru-RU"/>
              </w:rPr>
              <w:lastRenderedPageBreak/>
              <w:t>получение субсидии,  человек</w:t>
            </w:r>
          </w:p>
        </w:tc>
        <w:tc>
          <w:tcPr>
            <w:tcW w:w="1928" w:type="dxa"/>
            <w:gridSpan w:val="3"/>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lastRenderedPageBreak/>
              <w:t xml:space="preserve">В данном столбце данной строки заполнение информации </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не требуется</w:t>
            </w:r>
          </w:p>
        </w:tc>
        <w:tc>
          <w:tcPr>
            <w:tcW w:w="454"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54"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54"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gridSpan w:val="2"/>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54"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10"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В данном столбце данной строки заполнение информации </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не требуется</w:t>
            </w:r>
          </w:p>
        </w:tc>
        <w:tc>
          <w:tcPr>
            <w:tcW w:w="1701" w:type="dxa"/>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В данном столбце данной строки заполнение информации </w:t>
            </w:r>
          </w:p>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не требуется</w:t>
            </w:r>
          </w:p>
        </w:tc>
      </w:tr>
      <w:tr w:rsidR="001A17DD" w:rsidRPr="001A17DD" w:rsidTr="00E84404">
        <w:tc>
          <w:tcPr>
            <w:tcW w:w="5959" w:type="dxa"/>
            <w:gridSpan w:val="7"/>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896" w:type="dxa"/>
            <w:gridSpan w:val="13"/>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Размер затрат, тыс. рублей</w:t>
            </w:r>
          </w:p>
        </w:tc>
        <w:tc>
          <w:tcPr>
            <w:tcW w:w="3211" w:type="dxa"/>
            <w:gridSpan w:val="2"/>
            <w:tcBorders>
              <w:top w:val="single" w:sz="2" w:space="0" w:color="auto"/>
              <w:left w:val="single" w:sz="2" w:space="0" w:color="auto"/>
              <w:bottom w:val="single" w:sz="18" w:space="0" w:color="auto"/>
              <w:right w:val="single" w:sz="2" w:space="0" w:color="auto"/>
            </w:tcBorders>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r>
      <w:tr w:rsidR="001A17DD" w:rsidRPr="001A17DD" w:rsidTr="00E84404">
        <w:tc>
          <w:tcPr>
            <w:tcW w:w="453" w:type="dxa"/>
            <w:vMerge w:val="restart"/>
            <w:tcBorders>
              <w:top w:val="single" w:sz="18" w:space="0" w:color="auto"/>
            </w:tcBorders>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Borders>
              <w:top w:val="single" w:sz="18" w:space="0" w:color="auto"/>
            </w:tcBorders>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Коммунальные услуги, в том числе вывоз мусора</w:t>
            </w:r>
          </w:p>
        </w:tc>
        <w:tc>
          <w:tcPr>
            <w:tcW w:w="1928" w:type="dxa"/>
            <w:gridSpan w:val="3"/>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Borders>
              <w:top w:val="single" w:sz="18" w:space="0" w:color="auto"/>
            </w:tcBorders>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Аренда помещений частной образовательной организации </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Аренда земельного участка для использования под игровую площадку частной образовательной организации </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color w:val="0000FF"/>
                <w:szCs w:val="20"/>
                <w:lang w:eastAsia="ru-RU"/>
              </w:rPr>
            </w:pPr>
            <w:r w:rsidRPr="001A17DD">
              <w:rPr>
                <w:rFonts w:ascii="Times New Roman" w:eastAsia="Times New Roman" w:hAnsi="Times New Roman" w:cs="Times New Roman"/>
                <w:szCs w:val="20"/>
                <w:lang w:eastAsia="ru-RU"/>
              </w:rPr>
              <w:t>Текущий ремонт помещений и территорий частной образовательной организации</w:t>
            </w:r>
            <w:r w:rsidRPr="001A17DD">
              <w:rPr>
                <w:rFonts w:ascii="Times New Roman" w:eastAsia="Times New Roman" w:hAnsi="Times New Roman" w:cs="Times New Roman"/>
                <w:szCs w:val="20"/>
                <w:vertAlign w:val="superscript"/>
                <w:lang w:eastAsia="ru-RU"/>
              </w:rPr>
              <w:footnoteReference w:id="3"/>
            </w:r>
            <w:r w:rsidRPr="001A17DD">
              <w:rPr>
                <w:rFonts w:ascii="Times New Roman" w:eastAsia="Times New Roman" w:hAnsi="Times New Roman" w:cs="Times New Roman"/>
                <w:color w:val="0000FF"/>
                <w:szCs w:val="20"/>
                <w:lang w:eastAsia="ru-RU"/>
              </w:rPr>
              <w:t>,</w:t>
            </w:r>
          </w:p>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Если сумма затрат на текущий ремонт помещений и территорий частной образовательной организации превышает 150 000 рублей, необходимо предоставить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Благоустройство игровой площадки частной образовательной организации, включая установку игрового оборудования. Если сумма затрат на благоустройство игровой </w:t>
            </w:r>
            <w:r w:rsidRPr="001A17DD">
              <w:rPr>
                <w:rFonts w:ascii="Times New Roman" w:eastAsia="Times New Roman" w:hAnsi="Times New Roman" w:cs="Times New Roman"/>
                <w:szCs w:val="20"/>
                <w:lang w:eastAsia="ru-RU"/>
              </w:rPr>
              <w:lastRenderedPageBreak/>
              <w:t>площадки частной образовательной организации, включая установку игрового оборудования, превышает 100 000 рублей, необходимо предоставить положительное заключение по итогам проверки достоверности сметной стоимости, выданное государственным автономным учреждением  «Управление государственной экспертизы Ленинградской области».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Приобретение мебели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Оплата услуг по ремонту мебели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1A17DD">
              <w:rPr>
                <w:rFonts w:ascii="Times New Roman" w:eastAsia="Times New Roman" w:hAnsi="Times New Roman" w:cs="Times New Roman"/>
                <w:szCs w:val="20"/>
                <w:lang w:eastAsia="ru-RU"/>
              </w:rPr>
              <w:t xml:space="preserve">Приобретение мягкого инвентаря - постельных принадлежностей (матрасы, подушки, одеяла, спальные мешки) и белья (простыни, наволочки, пододеяльники) </w:t>
            </w:r>
            <w:proofErr w:type="gramEnd"/>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Приобретение посуды и столовых приборов для организации питания детей в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Приобретение оборудования для пищеблока частной образовательной организации </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Техническое обслуживание систем энергоснабжения, теплоснабжения, вентиляции, кондиционирования, водоснабжения и канализации в здании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Техническое обслуживание пожарной сигнализации и противопожарной защиты в помещениях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Охрана здания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Дератизация и дезинсекция помещений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Чистка вентиляционных каналов</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Хозяйственные расходы</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Оплата услуг прачечной и химчистки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Расходы на медицинские услуги, оказанные работникам частной образовательной организации (проведение медицинских обследований и лабораторных исследований для внесения в личную медицинскую книжку) </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Расходы на организацию благоприятного санитарно-эпидемиологического режима в частной образовательной организации (сокращенный анализ воды водопроводной холодной, определение бактерий группы кишечной палочки (БГКП) методом смывов, взятие смывов на паразитологию, измерение параметров микроклимата)</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Расходы на питание детей во время </w:t>
            </w:r>
            <w:r w:rsidRPr="001A17DD">
              <w:rPr>
                <w:rFonts w:ascii="Times New Roman" w:eastAsia="Times New Roman" w:hAnsi="Times New Roman" w:cs="Times New Roman"/>
                <w:szCs w:val="20"/>
                <w:lang w:eastAsia="ru-RU"/>
              </w:rPr>
              <w:lastRenderedPageBreak/>
              <w:t>пребывания в частной образовательной организации в размере не более 300 рублей в день на одного ребенка</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Транспортные расходы (доставка питания, белья, мебели, оборудования, песка) </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Расходы на отопление (автономное)</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Расходы на услуги связи, Интернет (не более двух единиц точек связи, не более одной единицы точки интернета на каждое отдельно стоящее здание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1A17DD">
              <w:rPr>
                <w:rFonts w:ascii="Times New Roman" w:eastAsia="Times New Roman" w:hAnsi="Times New Roman" w:cs="Times New Roman"/>
                <w:szCs w:val="20"/>
                <w:lang w:eastAsia="ru-RU"/>
              </w:rPr>
              <w:t>Расходы на разработку или доработку официального сайта частной образовательной организации  в информационно-телекоммуникационной сети «Интернет» в соответствии с требованиями приказа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«Интернет» и формату представления информации»                            (не более 1 раза в год, не более 1официального сайта частной</w:t>
            </w:r>
            <w:proofErr w:type="gramEnd"/>
            <w:r w:rsidRPr="001A17DD">
              <w:rPr>
                <w:rFonts w:ascii="Times New Roman" w:eastAsia="Times New Roman" w:hAnsi="Times New Roman" w:cs="Times New Roman"/>
                <w:szCs w:val="20"/>
                <w:lang w:eastAsia="ru-RU"/>
              </w:rPr>
              <w:t xml:space="preserve"> образовательной организации</w:t>
            </w:r>
            <w:proofErr w:type="gramStart"/>
            <w:r w:rsidRPr="001A17DD">
              <w:rPr>
                <w:rFonts w:ascii="Times New Roman" w:eastAsia="Times New Roman" w:hAnsi="Times New Roman" w:cs="Times New Roman"/>
                <w:szCs w:val="20"/>
                <w:lang w:eastAsia="ru-RU"/>
              </w:rPr>
              <w:t xml:space="preserve"> )</w:t>
            </w:r>
            <w:proofErr w:type="gramEnd"/>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numPr>
                <w:ilvl w:val="0"/>
                <w:numId w:val="1"/>
              </w:numPr>
              <w:spacing w:after="160" w:line="256" w:lineRule="auto"/>
              <w:ind w:left="417"/>
              <w:contextualSpacing/>
              <w:rPr>
                <w:rFonts w:ascii="Times New Roman" w:eastAsia="Times New Roman" w:hAnsi="Times New Roman" w:cs="Times New Roman"/>
              </w:rPr>
            </w:pPr>
          </w:p>
        </w:tc>
        <w:tc>
          <w:tcPr>
            <w:tcW w:w="3578" w:type="dxa"/>
            <w:gridSpan w:val="3"/>
            <w:vMerge/>
          </w:tcPr>
          <w:p w:rsidR="001A17DD" w:rsidRPr="001A17DD" w:rsidRDefault="001A17DD" w:rsidP="001A17DD">
            <w:pPr>
              <w:jc w:val="both"/>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val="restart"/>
          </w:tcPr>
          <w:p w:rsidR="001A17DD" w:rsidRPr="001A17DD" w:rsidRDefault="001A17DD" w:rsidP="001A17DD">
            <w:pPr>
              <w:widowControl w:val="0"/>
              <w:numPr>
                <w:ilvl w:val="0"/>
                <w:numId w:val="1"/>
              </w:numPr>
              <w:autoSpaceDE w:val="0"/>
              <w:autoSpaceDN w:val="0"/>
              <w:spacing w:after="0" w:line="240" w:lineRule="auto"/>
              <w:ind w:left="417"/>
              <w:contextualSpacing/>
              <w:jc w:val="center"/>
              <w:rPr>
                <w:rFonts w:ascii="Times New Roman" w:eastAsia="Times New Roman" w:hAnsi="Times New Roman" w:cs="Times New Roman"/>
                <w:szCs w:val="20"/>
                <w:lang w:eastAsia="ru-RU"/>
              </w:rPr>
            </w:pPr>
          </w:p>
        </w:tc>
        <w:tc>
          <w:tcPr>
            <w:tcW w:w="3578" w:type="dxa"/>
            <w:gridSpan w:val="3"/>
            <w:vMerge w:val="restart"/>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 xml:space="preserve">Расходы на обслуживание   </w:t>
            </w:r>
            <w:r w:rsidRPr="001A17DD">
              <w:rPr>
                <w:rFonts w:ascii="Times New Roman" w:eastAsia="Times New Roman" w:hAnsi="Times New Roman" w:cs="Times New Roman"/>
                <w:szCs w:val="20"/>
                <w:lang w:eastAsia="ru-RU"/>
              </w:rPr>
              <w:lastRenderedPageBreak/>
              <w:t>оргтехники                      (не более четырех единиц на каждое отдельно стоящее здание частной образовательной организации)</w:t>
            </w:r>
          </w:p>
        </w:tc>
        <w:tc>
          <w:tcPr>
            <w:tcW w:w="1928" w:type="dxa"/>
            <w:gridSpan w:val="3"/>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vMerge w:val="restart"/>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vMerge/>
          </w:tcPr>
          <w:p w:rsidR="001A17DD" w:rsidRPr="001A17DD" w:rsidRDefault="001A17DD" w:rsidP="001A17DD">
            <w:pPr>
              <w:rPr>
                <w:rFonts w:ascii="Times New Roman" w:eastAsia="Times New Roman" w:hAnsi="Times New Roman" w:cs="Times New Roman"/>
              </w:rPr>
            </w:pPr>
          </w:p>
        </w:tc>
        <w:tc>
          <w:tcPr>
            <w:tcW w:w="3578" w:type="dxa"/>
            <w:gridSpan w:val="3"/>
            <w:vMerge/>
          </w:tcPr>
          <w:p w:rsidR="001A17DD" w:rsidRPr="001A17DD" w:rsidRDefault="001A17DD" w:rsidP="001A17DD">
            <w:pPr>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rPr>
                <w:rFonts w:ascii="Times New Roman" w:eastAsia="Times New Roman" w:hAnsi="Times New Roman" w:cs="Times New Roman"/>
              </w:rPr>
            </w:pPr>
          </w:p>
        </w:tc>
        <w:tc>
          <w:tcPr>
            <w:tcW w:w="3578" w:type="dxa"/>
            <w:gridSpan w:val="3"/>
            <w:vMerge/>
          </w:tcPr>
          <w:p w:rsidR="001A17DD" w:rsidRPr="001A17DD" w:rsidRDefault="001A17DD" w:rsidP="001A17DD">
            <w:pPr>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vMerge/>
          </w:tcPr>
          <w:p w:rsidR="001A17DD" w:rsidRPr="001A17DD" w:rsidRDefault="001A17DD" w:rsidP="001A17DD">
            <w:pPr>
              <w:rPr>
                <w:rFonts w:ascii="Times New Roman" w:eastAsia="Times New Roman" w:hAnsi="Times New Roman" w:cs="Times New Roman"/>
              </w:rPr>
            </w:pPr>
          </w:p>
        </w:tc>
        <w:tc>
          <w:tcPr>
            <w:tcW w:w="3578" w:type="dxa"/>
            <w:gridSpan w:val="3"/>
            <w:vMerge/>
          </w:tcPr>
          <w:p w:rsidR="001A17DD" w:rsidRPr="001A17DD" w:rsidRDefault="001A17DD" w:rsidP="001A17DD">
            <w:pPr>
              <w:rPr>
                <w:rFonts w:ascii="Times New Roman" w:eastAsia="Times New Roman" w:hAnsi="Times New Roman" w:cs="Times New Roman"/>
              </w:rPr>
            </w:pP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gridSpan w:val="2"/>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454"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510" w:type="dxa"/>
            <w:vMerge/>
          </w:tcPr>
          <w:p w:rsidR="001A17DD" w:rsidRPr="001A17DD" w:rsidRDefault="001A17DD" w:rsidP="001A17DD">
            <w:pPr>
              <w:rPr>
                <w:rFonts w:ascii="Times New Roman" w:eastAsia="Times New Roman" w:hAnsi="Times New Roman" w:cs="Times New Roman"/>
              </w:rPr>
            </w:pPr>
          </w:p>
        </w:tc>
        <w:tc>
          <w:tcPr>
            <w:tcW w:w="1510" w:type="dxa"/>
            <w:vMerge/>
          </w:tcPr>
          <w:p w:rsidR="001A17DD" w:rsidRPr="001A17DD" w:rsidRDefault="001A17DD" w:rsidP="001A17DD">
            <w:pPr>
              <w:rPr>
                <w:rFonts w:ascii="Times New Roman" w:eastAsia="Times New Roman" w:hAnsi="Times New Roman" w:cs="Times New Roman"/>
              </w:rPr>
            </w:pPr>
          </w:p>
        </w:tc>
        <w:tc>
          <w:tcPr>
            <w:tcW w:w="1701" w:type="dxa"/>
            <w:vMerge/>
          </w:tcPr>
          <w:p w:rsidR="001A17DD" w:rsidRPr="001A17DD" w:rsidRDefault="001A17DD" w:rsidP="001A17DD">
            <w:pPr>
              <w:rPr>
                <w:rFonts w:ascii="Times New Roman" w:eastAsia="Times New Roman" w:hAnsi="Times New Roman" w:cs="Times New Roman"/>
              </w:rPr>
            </w:pPr>
          </w:p>
        </w:tc>
      </w:tr>
      <w:tr w:rsidR="001A17DD" w:rsidRPr="001A17DD" w:rsidTr="00E84404">
        <w:tc>
          <w:tcPr>
            <w:tcW w:w="453"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26.</w:t>
            </w: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1A17DD">
              <w:rPr>
                <w:rFonts w:ascii="Times New Roman" w:eastAsia="Times New Roman" w:hAnsi="Times New Roman" w:cs="Times New Roman"/>
                <w:szCs w:val="20"/>
                <w:lang w:eastAsia="ru-RU"/>
              </w:rPr>
              <w:t xml:space="preserve">Оплата труда и начисления по оплате труда работников, обеспечивающих содержание и функционирование зданий частной образовательной организации, в том числе функционирование систем отопления (истопники, кочегары, операторы бойлерных и </w:t>
            </w:r>
            <w:proofErr w:type="spellStart"/>
            <w:r w:rsidRPr="001A17DD">
              <w:rPr>
                <w:rFonts w:ascii="Times New Roman" w:eastAsia="Times New Roman" w:hAnsi="Times New Roman" w:cs="Times New Roman"/>
                <w:szCs w:val="20"/>
                <w:lang w:eastAsia="ru-RU"/>
              </w:rPr>
              <w:t>хлораторных</w:t>
            </w:r>
            <w:proofErr w:type="spellEnd"/>
            <w:r w:rsidRPr="001A17DD">
              <w:rPr>
                <w:rFonts w:ascii="Times New Roman" w:eastAsia="Times New Roman" w:hAnsi="Times New Roman" w:cs="Times New Roman"/>
                <w:szCs w:val="20"/>
                <w:lang w:eastAsia="ru-RU"/>
              </w:rPr>
              <w:t>, слесари-сантехники, рабочие по комплексному обслуживанию и ремонту зданий, сторожа, электромонтеры по ремонту и обслуживанию электрооборудования, уборщики помещений, повара, водители, грузчики, кладовщики, подсобные рабочие, кастелянши, рабочие по стирке белья, плотники, дворники)</w:t>
            </w:r>
            <w:proofErr w:type="gramEnd"/>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(наименование должности в соответствии со штатным расписанием)</w:t>
            </w: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27.</w:t>
            </w:r>
          </w:p>
        </w:tc>
        <w:tc>
          <w:tcPr>
            <w:tcW w:w="3578" w:type="dxa"/>
            <w:gridSpan w:val="3"/>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Расходы на проведение проверки достоверности определения сметной стоимости на текущий ремонт помещений и территории частной образовательной организации и/или благоустройство игровой площадки частной образовательной организации, включая установку игрового оборудования</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c>
          <w:tcPr>
            <w:tcW w:w="453"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357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r w:rsidRPr="001A17DD">
              <w:rPr>
                <w:rFonts w:ascii="Times New Roman" w:eastAsia="Times New Roman" w:hAnsi="Times New Roman" w:cs="Times New Roman"/>
                <w:szCs w:val="20"/>
                <w:lang w:eastAsia="ru-RU"/>
              </w:rPr>
              <w:t>Итого расходов за период</w:t>
            </w:r>
          </w:p>
        </w:tc>
        <w:tc>
          <w:tcPr>
            <w:tcW w:w="1928" w:type="dxa"/>
            <w:gridSpan w:val="3"/>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454"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51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szCs w:val="20"/>
                <w:lang w:eastAsia="ru-RU"/>
              </w:rPr>
            </w:pP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rPr>
                <w:rFonts w:ascii="Calibri" w:eastAsia="Times New Roman" w:hAnsi="Calibri" w:cs="Calibri"/>
                <w:szCs w:val="20"/>
                <w:lang w:eastAsia="ru-RU"/>
              </w:rPr>
            </w:pPr>
            <w:bookmarkStart w:id="2" w:name="P948"/>
            <w:bookmarkStart w:id="3" w:name="P949"/>
            <w:bookmarkStart w:id="4" w:name="P950"/>
            <w:bookmarkEnd w:id="2"/>
            <w:bookmarkEnd w:id="3"/>
            <w:bookmarkEnd w:id="4"/>
          </w:p>
        </w:tc>
        <w:tc>
          <w:tcPr>
            <w:tcW w:w="340" w:type="dxa"/>
          </w:tcPr>
          <w:p w:rsidR="001A17DD" w:rsidRPr="001A17DD" w:rsidRDefault="001A17DD" w:rsidP="001A17DD">
            <w:pPr>
              <w:widowControl w:val="0"/>
              <w:autoSpaceDE w:val="0"/>
              <w:autoSpaceDN w:val="0"/>
              <w:spacing w:after="0" w:line="240" w:lineRule="auto"/>
              <w:rPr>
                <w:rFonts w:ascii="Calibri" w:eastAsia="Times New Roman" w:hAnsi="Calibri" w:cs="Calibr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rPr>
                <w:rFonts w:ascii="Calibri" w:eastAsia="Times New Roman" w:hAnsi="Calibri" w:cs="Calibri"/>
                <w:szCs w:val="20"/>
                <w:lang w:eastAsia="ru-RU"/>
              </w:rPr>
            </w:pPr>
          </w:p>
        </w:tc>
        <w:tc>
          <w:tcPr>
            <w:tcW w:w="340" w:type="dxa"/>
          </w:tcPr>
          <w:p w:rsidR="001A17DD" w:rsidRPr="001A17DD" w:rsidRDefault="001A17DD" w:rsidP="001A17DD">
            <w:pPr>
              <w:widowControl w:val="0"/>
              <w:autoSpaceDE w:val="0"/>
              <w:autoSpaceDN w:val="0"/>
              <w:spacing w:after="0" w:line="240" w:lineRule="auto"/>
              <w:rPr>
                <w:rFonts w:ascii="Calibri" w:eastAsia="Times New Roman" w:hAnsi="Calibri" w:cs="Calibr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rPr>
                <w:rFonts w:ascii="Calibri" w:eastAsia="Times New Roman" w:hAnsi="Calibri" w:cs="Calibri"/>
                <w:szCs w:val="20"/>
                <w:lang w:eastAsia="ru-RU"/>
              </w:rPr>
            </w:pP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(должность)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(подпись)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(расшифровка подписи)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lastRenderedPageBreak/>
              <w:t>"___" ____________ 20___ года</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ind w:firstLine="283"/>
              <w:jc w:val="both"/>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Место печати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"Согласовано"</w:t>
            </w:r>
          </w:p>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Комитет общего и профессионального образования Ленинградской области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(должность)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(подпись)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(расшифровка подписи)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"___" ____________ 20___ года</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9071" w:type="dxa"/>
            <w:gridSpan w:val="14"/>
          </w:tcPr>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i/>
                <w:szCs w:val="20"/>
                <w:lang w:eastAsia="ru-RU"/>
              </w:rPr>
            </w:pPr>
          </w:p>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"Согласовано"</w:t>
            </w:r>
          </w:p>
          <w:p w:rsidR="001A17DD" w:rsidRPr="001A17DD" w:rsidRDefault="001A17DD" w:rsidP="001A17DD">
            <w:pPr>
              <w:widowControl w:val="0"/>
              <w:autoSpaceDE w:val="0"/>
              <w:autoSpaceDN w:val="0"/>
              <w:spacing w:after="0" w:line="240" w:lineRule="auto"/>
              <w:jc w:val="both"/>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Комитет по развитию малого, среднего бизнеса и потребительского рынка Ленинградской области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Pr>
        <w:tc>
          <w:tcPr>
            <w:tcW w:w="2721"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(должность)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2268" w:type="dxa"/>
            <w:gridSpan w:val="2"/>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(подпись)</w:t>
            </w:r>
          </w:p>
        </w:tc>
        <w:tc>
          <w:tcPr>
            <w:tcW w:w="340" w:type="dxa"/>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p>
        </w:tc>
        <w:tc>
          <w:tcPr>
            <w:tcW w:w="3402" w:type="dxa"/>
            <w:gridSpan w:val="8"/>
          </w:tcPr>
          <w:p w:rsidR="001A17DD" w:rsidRPr="001A17DD" w:rsidRDefault="001A17DD" w:rsidP="001A17DD">
            <w:pPr>
              <w:widowControl w:val="0"/>
              <w:autoSpaceDE w:val="0"/>
              <w:autoSpaceDN w:val="0"/>
              <w:spacing w:after="0" w:line="240" w:lineRule="auto"/>
              <w:jc w:val="center"/>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(расшифровка подписи)</w:t>
            </w:r>
          </w:p>
        </w:tc>
      </w:tr>
      <w:tr w:rsidR="001A17DD" w:rsidRPr="001A17DD" w:rsidTr="00E84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5995" w:type="dxa"/>
          <w:trHeight w:val="183"/>
        </w:trPr>
        <w:tc>
          <w:tcPr>
            <w:tcW w:w="9071" w:type="dxa"/>
            <w:gridSpan w:val="14"/>
          </w:tcPr>
          <w:p w:rsidR="001A17DD" w:rsidRPr="001A17DD" w:rsidRDefault="001A17DD" w:rsidP="001A17DD">
            <w:pPr>
              <w:widowControl w:val="0"/>
              <w:autoSpaceDE w:val="0"/>
              <w:autoSpaceDN w:val="0"/>
              <w:spacing w:after="0" w:line="240" w:lineRule="auto"/>
              <w:rPr>
                <w:rFonts w:ascii="Times New Roman" w:eastAsia="Times New Roman" w:hAnsi="Times New Roman" w:cs="Times New Roman"/>
                <w:i/>
                <w:szCs w:val="20"/>
                <w:lang w:eastAsia="ru-RU"/>
              </w:rPr>
            </w:pPr>
            <w:r w:rsidRPr="001A17DD">
              <w:rPr>
                <w:rFonts w:ascii="Times New Roman" w:eastAsia="Times New Roman" w:hAnsi="Times New Roman" w:cs="Times New Roman"/>
                <w:i/>
                <w:szCs w:val="20"/>
                <w:lang w:eastAsia="ru-RU"/>
              </w:rPr>
              <w:t>"___" ____________ 20___ года</w:t>
            </w:r>
          </w:p>
        </w:tc>
      </w:tr>
    </w:tbl>
    <w:p w:rsidR="00491267" w:rsidRDefault="00491267" w:rsidP="001A17DD"/>
    <w:sectPr w:rsidR="00491267" w:rsidSect="001A17DD">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A2" w:rsidRDefault="00F804A2" w:rsidP="001A17DD">
      <w:pPr>
        <w:spacing w:after="0" w:line="240" w:lineRule="auto"/>
      </w:pPr>
      <w:r>
        <w:separator/>
      </w:r>
    </w:p>
  </w:endnote>
  <w:endnote w:type="continuationSeparator" w:id="0">
    <w:p w:rsidR="00F804A2" w:rsidRDefault="00F804A2" w:rsidP="001A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A2" w:rsidRDefault="00F804A2" w:rsidP="001A17DD">
      <w:pPr>
        <w:spacing w:after="0" w:line="240" w:lineRule="auto"/>
      </w:pPr>
      <w:r>
        <w:separator/>
      </w:r>
    </w:p>
  </w:footnote>
  <w:footnote w:type="continuationSeparator" w:id="0">
    <w:p w:rsidR="00F804A2" w:rsidRDefault="00F804A2" w:rsidP="001A17DD">
      <w:pPr>
        <w:spacing w:after="0" w:line="240" w:lineRule="auto"/>
      </w:pPr>
      <w:r>
        <w:continuationSeparator/>
      </w:r>
    </w:p>
  </w:footnote>
  <w:footnote w:id="1">
    <w:p w:rsidR="001A17DD" w:rsidRPr="003E236D" w:rsidRDefault="001A17DD" w:rsidP="001A17DD">
      <w:pPr>
        <w:pStyle w:val="a3"/>
        <w:rPr>
          <w:rFonts w:ascii="Times New Roman" w:hAnsi="Times New Roman"/>
          <w:i/>
          <w:sz w:val="18"/>
          <w:szCs w:val="18"/>
        </w:rPr>
      </w:pPr>
      <w:r>
        <w:rPr>
          <w:rStyle w:val="a6"/>
        </w:rPr>
        <w:footnoteRef/>
      </w:r>
      <w:r>
        <w:t xml:space="preserve"> </w:t>
      </w:r>
      <w:r w:rsidRPr="003E236D">
        <w:rPr>
          <w:rFonts w:ascii="Times New Roman" w:hAnsi="Times New Roman"/>
          <w:i/>
          <w:sz w:val="18"/>
          <w:szCs w:val="18"/>
        </w:rPr>
        <w:t xml:space="preserve">Виды затрат, на возмещение которых предоставляется субсидия, должны соответствовать требованиям законодательства Российской Федерации, в том числе: СанПиН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Федеральный </w:t>
      </w:r>
      <w:hyperlink r:id="rId1" w:history="1">
        <w:r w:rsidRPr="003E236D">
          <w:rPr>
            <w:rStyle w:val="a5"/>
            <w:rFonts w:ascii="Times New Roman" w:hAnsi="Times New Roman"/>
            <w:i/>
            <w:sz w:val="18"/>
            <w:szCs w:val="18"/>
          </w:rPr>
          <w:t>закон</w:t>
        </w:r>
      </w:hyperlink>
      <w:r w:rsidRPr="003E236D">
        <w:rPr>
          <w:rFonts w:ascii="Times New Roman" w:hAnsi="Times New Roman"/>
          <w:i/>
          <w:sz w:val="18"/>
          <w:szCs w:val="18"/>
        </w:rPr>
        <w:t xml:space="preserve"> от 22 июля 2008 года N 123 "Технический регламент о требованиях пожарной безопасности и др.</w:t>
      </w:r>
    </w:p>
  </w:footnote>
  <w:footnote w:id="2">
    <w:p w:rsidR="001A17DD" w:rsidRPr="003E236D" w:rsidRDefault="001A17DD" w:rsidP="001A17DD">
      <w:pPr>
        <w:pStyle w:val="a3"/>
        <w:rPr>
          <w:rFonts w:ascii="Times New Roman" w:hAnsi="Times New Roman"/>
          <w:i/>
          <w:sz w:val="18"/>
          <w:szCs w:val="18"/>
        </w:rPr>
      </w:pPr>
      <w:r w:rsidRPr="003E236D">
        <w:rPr>
          <w:rStyle w:val="a6"/>
          <w:rFonts w:ascii="Times New Roman" w:hAnsi="Times New Roman"/>
          <w:i/>
          <w:sz w:val="18"/>
          <w:szCs w:val="18"/>
        </w:rPr>
        <w:footnoteRef/>
      </w:r>
      <w:r w:rsidRPr="003E236D">
        <w:rPr>
          <w:rFonts w:ascii="Times New Roman" w:hAnsi="Times New Roman"/>
          <w:i/>
          <w:sz w:val="18"/>
          <w:szCs w:val="18"/>
        </w:rPr>
        <w:t xml:space="preserve"> Периодичность затрат, на возмещение которых предоставляется субсидия, должна соответствовать требованиям законодательства Российской Федерации, в том числе: СанПиН (2.4.3648-20) «Санитарно-эпидемиологические требования к организациям воспитания и обучения, отдыха и оздоровления детей и молодежи», СанПиН (2.3/2.4.3590-20) «Санитарно-эпидемиологические требования к организации общественного питания населения», Федеральный закон от 22 июля 2008 года N 123 "Технический регламент о требованиях пожарной безопасности и др.</w:t>
      </w:r>
    </w:p>
  </w:footnote>
  <w:footnote w:id="3">
    <w:p w:rsidR="001A17DD" w:rsidRPr="003E236D" w:rsidRDefault="001A17DD" w:rsidP="001A17DD">
      <w:pPr>
        <w:pStyle w:val="a3"/>
        <w:rPr>
          <w:rFonts w:ascii="Times New Roman" w:hAnsi="Times New Roman"/>
          <w:i/>
          <w:sz w:val="18"/>
          <w:szCs w:val="18"/>
        </w:rPr>
      </w:pPr>
      <w:r w:rsidRPr="003E236D">
        <w:rPr>
          <w:rStyle w:val="a6"/>
          <w:rFonts w:ascii="Times New Roman" w:hAnsi="Times New Roman"/>
          <w:i/>
          <w:sz w:val="18"/>
          <w:szCs w:val="18"/>
        </w:rPr>
        <w:footnoteRef/>
      </w:r>
      <w:r w:rsidRPr="003E236D">
        <w:rPr>
          <w:rFonts w:ascii="Times New Roman" w:hAnsi="Times New Roman"/>
          <w:i/>
          <w:sz w:val="18"/>
          <w:szCs w:val="18"/>
        </w:rPr>
        <w:t xml:space="preserve"> К текущему ремонту относят устранение мелких неисправностей, выявляемых в ходе повседневной эксплуатации основного средства, при котором объект практически не выбывает из эксплуатации, а его технические характеристики не меняются, работы по систематическому и своевременному предохранению основных средств от преждевременного износа путем проведения профилактических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42AFB"/>
    <w:multiLevelType w:val="hybridMultilevel"/>
    <w:tmpl w:val="E9E22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31"/>
    <w:rsid w:val="001A17DD"/>
    <w:rsid w:val="00491267"/>
    <w:rsid w:val="00933131"/>
    <w:rsid w:val="00F8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17DD"/>
    <w:pPr>
      <w:spacing w:after="0" w:line="240" w:lineRule="auto"/>
    </w:pPr>
    <w:rPr>
      <w:sz w:val="20"/>
      <w:szCs w:val="20"/>
    </w:rPr>
  </w:style>
  <w:style w:type="character" w:customStyle="1" w:styleId="a4">
    <w:name w:val="Текст сноски Знак"/>
    <w:basedOn w:val="a0"/>
    <w:link w:val="a3"/>
    <w:uiPriority w:val="99"/>
    <w:semiHidden/>
    <w:rsid w:val="001A17DD"/>
    <w:rPr>
      <w:sz w:val="20"/>
      <w:szCs w:val="20"/>
    </w:rPr>
  </w:style>
  <w:style w:type="character" w:styleId="a5">
    <w:name w:val="Hyperlink"/>
    <w:uiPriority w:val="99"/>
    <w:rsid w:val="001A17DD"/>
    <w:rPr>
      <w:color w:val="0000FF"/>
      <w:u w:val="single"/>
    </w:rPr>
  </w:style>
  <w:style w:type="character" w:styleId="a6">
    <w:name w:val="footnote reference"/>
    <w:uiPriority w:val="99"/>
    <w:unhideWhenUsed/>
    <w:rsid w:val="001A17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A17DD"/>
    <w:pPr>
      <w:spacing w:after="0" w:line="240" w:lineRule="auto"/>
    </w:pPr>
    <w:rPr>
      <w:sz w:val="20"/>
      <w:szCs w:val="20"/>
    </w:rPr>
  </w:style>
  <w:style w:type="character" w:customStyle="1" w:styleId="a4">
    <w:name w:val="Текст сноски Знак"/>
    <w:basedOn w:val="a0"/>
    <w:link w:val="a3"/>
    <w:uiPriority w:val="99"/>
    <w:semiHidden/>
    <w:rsid w:val="001A17DD"/>
    <w:rPr>
      <w:sz w:val="20"/>
      <w:szCs w:val="20"/>
    </w:rPr>
  </w:style>
  <w:style w:type="character" w:styleId="a5">
    <w:name w:val="Hyperlink"/>
    <w:uiPriority w:val="99"/>
    <w:rsid w:val="001A17DD"/>
    <w:rPr>
      <w:color w:val="0000FF"/>
      <w:u w:val="single"/>
    </w:rPr>
  </w:style>
  <w:style w:type="character" w:styleId="a6">
    <w:name w:val="footnote reference"/>
    <w:uiPriority w:val="99"/>
    <w:unhideWhenUsed/>
    <w:rsid w:val="001A1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28CAAE289714D5743FFA21538120434602C73F3C0865502B6E26D88789EF20782FB9608A4E794C67AFB971B8ESDE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Владимировна Ходакова</dc:creator>
  <cp:keywords/>
  <dc:description/>
  <cp:lastModifiedBy>Дарья Владимировна Ходакова</cp:lastModifiedBy>
  <cp:revision>2</cp:revision>
  <dcterms:created xsi:type="dcterms:W3CDTF">2021-10-18T07:15:00Z</dcterms:created>
  <dcterms:modified xsi:type="dcterms:W3CDTF">2021-10-18T07:18:00Z</dcterms:modified>
</cp:coreProperties>
</file>