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64" w:rsidRPr="003F4977" w:rsidRDefault="00E46B64" w:rsidP="00E46B6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4977">
        <w:rPr>
          <w:rFonts w:ascii="Times New Roman" w:hAnsi="Times New Roman" w:cs="Times New Roman"/>
          <w:sz w:val="28"/>
          <w:szCs w:val="28"/>
        </w:rPr>
        <w:t>Малое и среднее предпринимательство,</w:t>
      </w:r>
    </w:p>
    <w:p w:rsidR="00E46B64" w:rsidRPr="003F4977" w:rsidRDefault="00E46B64" w:rsidP="00E46B6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977">
        <w:rPr>
          <w:rFonts w:ascii="Times New Roman" w:hAnsi="Times New Roman" w:cs="Times New Roman"/>
          <w:sz w:val="28"/>
          <w:szCs w:val="28"/>
        </w:rPr>
        <w:t>отребительский рынок</w:t>
      </w:r>
    </w:p>
    <w:p w:rsidR="00E46B64" w:rsidRPr="006A61CD" w:rsidRDefault="00E46B64" w:rsidP="00E46B64">
      <w:pPr>
        <w:rPr>
          <w:sz w:val="16"/>
          <w:szCs w:val="16"/>
        </w:rPr>
      </w:pPr>
    </w:p>
    <w:p w:rsidR="00E46B64" w:rsidRPr="0010401A" w:rsidRDefault="00E46B64" w:rsidP="00E46B64">
      <w:pPr>
        <w:ind w:firstLine="567"/>
        <w:jc w:val="both"/>
        <w:rPr>
          <w:sz w:val="28"/>
          <w:szCs w:val="28"/>
        </w:rPr>
      </w:pPr>
      <w:r w:rsidRPr="0010401A">
        <w:rPr>
          <w:sz w:val="28"/>
          <w:szCs w:val="28"/>
        </w:rPr>
        <w:t>В Ленинградской области поддержка малого бизнеса как основы роста экономической активности является одним из основных приоритетов региональной политики. Благодаря активному внедрению современных инструментов формирования благоприятной предпринимательской среды, в</w:t>
      </w:r>
      <w:r>
        <w:rPr>
          <w:sz w:val="28"/>
          <w:szCs w:val="28"/>
        </w:rPr>
        <w:t> </w:t>
      </w:r>
      <w:r w:rsidRPr="0010401A">
        <w:rPr>
          <w:sz w:val="28"/>
          <w:szCs w:val="28"/>
        </w:rPr>
        <w:t>2019</w:t>
      </w:r>
      <w:r>
        <w:rPr>
          <w:sz w:val="28"/>
          <w:szCs w:val="28"/>
        </w:rPr>
        <w:t> </w:t>
      </w:r>
      <w:r w:rsidRPr="0010401A">
        <w:rPr>
          <w:sz w:val="28"/>
          <w:szCs w:val="28"/>
        </w:rPr>
        <w:t>году в развитии малого и среднего бизнеса наблюдались положительные тенденции.</w:t>
      </w:r>
    </w:p>
    <w:p w:rsidR="00E46B64" w:rsidRPr="0010401A" w:rsidRDefault="00E46B64" w:rsidP="00E46B64">
      <w:pPr>
        <w:ind w:firstLine="567"/>
        <w:jc w:val="both"/>
        <w:rPr>
          <w:sz w:val="28"/>
          <w:szCs w:val="28"/>
        </w:rPr>
      </w:pPr>
      <w:proofErr w:type="gramStart"/>
      <w:r w:rsidRPr="0010401A">
        <w:rPr>
          <w:sz w:val="28"/>
          <w:szCs w:val="28"/>
        </w:rPr>
        <w:t>По данным Единого реестра субъектов малого и среднего предпринимательства ФНС России в 2019 году по сравнению с уровнем 2018 года возросла предпринимательская активность, что подтверждается ростом в</w:t>
      </w:r>
      <w:r>
        <w:rPr>
          <w:sz w:val="28"/>
          <w:szCs w:val="28"/>
        </w:rPr>
        <w:t> </w:t>
      </w:r>
      <w:r w:rsidRPr="0010401A">
        <w:rPr>
          <w:sz w:val="28"/>
          <w:szCs w:val="28"/>
        </w:rPr>
        <w:t>2019</w:t>
      </w:r>
      <w:r>
        <w:rPr>
          <w:sz w:val="28"/>
          <w:szCs w:val="28"/>
        </w:rPr>
        <w:t> </w:t>
      </w:r>
      <w:r w:rsidRPr="0010401A">
        <w:rPr>
          <w:sz w:val="28"/>
          <w:szCs w:val="28"/>
        </w:rPr>
        <w:t xml:space="preserve">году количества субъектов малого и среднего предпринимательства (МСП) </w:t>
      </w:r>
      <w:r>
        <w:rPr>
          <w:sz w:val="28"/>
          <w:szCs w:val="28"/>
        </w:rPr>
        <w:t>почти на 3,5 тыс. предприятий, по итогам 2019 года в Ленинградской области -</w:t>
      </w:r>
      <w:r w:rsidRPr="0010401A">
        <w:rPr>
          <w:sz w:val="28"/>
          <w:szCs w:val="28"/>
        </w:rPr>
        <w:t xml:space="preserve">63 918 единиц или </w:t>
      </w:r>
      <w:r>
        <w:rPr>
          <w:sz w:val="28"/>
          <w:szCs w:val="28"/>
        </w:rPr>
        <w:t>105,76% к уровню 2018 года</w:t>
      </w:r>
      <w:r w:rsidRPr="0010401A">
        <w:rPr>
          <w:sz w:val="28"/>
          <w:szCs w:val="28"/>
        </w:rPr>
        <w:t xml:space="preserve">. </w:t>
      </w:r>
      <w:proofErr w:type="gramEnd"/>
    </w:p>
    <w:p w:rsidR="00E46B64" w:rsidRPr="00D813F2" w:rsidRDefault="00E46B64" w:rsidP="00E4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694C">
        <w:rPr>
          <w:sz w:val="28"/>
          <w:szCs w:val="28"/>
        </w:rPr>
        <w:t>тмечается рост основных показателей деятельности субъектов малого предпринимательства</w:t>
      </w:r>
      <w:r>
        <w:rPr>
          <w:sz w:val="28"/>
          <w:szCs w:val="28"/>
        </w:rPr>
        <w:t>:</w:t>
      </w:r>
      <w:r w:rsidRPr="00D7694C">
        <w:rPr>
          <w:sz w:val="28"/>
          <w:szCs w:val="28"/>
        </w:rPr>
        <w:t xml:space="preserve"> </w:t>
      </w:r>
    </w:p>
    <w:p w:rsidR="00D813F2" w:rsidRPr="00D813F2" w:rsidRDefault="00D813F2" w:rsidP="00E46B64">
      <w:pPr>
        <w:ind w:firstLine="709"/>
        <w:jc w:val="both"/>
        <w:rPr>
          <w:sz w:val="28"/>
          <w:szCs w:val="28"/>
        </w:rPr>
      </w:pPr>
      <w:r w:rsidRPr="00D813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оборот продукции (услуг), производимой малыми и средними предприятиями (включая индивидуальных предпринимателей) </w:t>
      </w:r>
      <w:r w:rsidRPr="00D7694C">
        <w:rPr>
          <w:sz w:val="28"/>
          <w:szCs w:val="28"/>
        </w:rPr>
        <w:t>в 2019 году составил</w:t>
      </w:r>
      <w:r w:rsidR="00AD0E8F">
        <w:rPr>
          <w:sz w:val="28"/>
          <w:szCs w:val="28"/>
        </w:rPr>
        <w:t xml:space="preserve"> 692,9 млрд. рублей</w:t>
      </w:r>
      <w:r w:rsidRPr="00D7694C">
        <w:rPr>
          <w:sz w:val="28"/>
          <w:szCs w:val="28"/>
        </w:rPr>
        <w:t xml:space="preserve"> (увеличение на </w:t>
      </w:r>
      <w:r w:rsidR="00AD0E8F">
        <w:rPr>
          <w:sz w:val="28"/>
          <w:szCs w:val="28"/>
        </w:rPr>
        <w:t>3,76</w:t>
      </w:r>
      <w:r w:rsidRPr="00D7694C">
        <w:rPr>
          <w:sz w:val="28"/>
          <w:szCs w:val="28"/>
        </w:rPr>
        <w:t>% по отношению к 2018 году)</w:t>
      </w:r>
    </w:p>
    <w:p w:rsidR="00E46B64" w:rsidRDefault="00E46B64" w:rsidP="00E46B6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 ч</w:t>
      </w:r>
      <w:r w:rsidRPr="00D7694C">
        <w:rPr>
          <w:sz w:val="28"/>
          <w:szCs w:val="28"/>
        </w:rPr>
        <w:t xml:space="preserve">исленность занятых в сфере МСП, включая индивидуальных предпринимателей, составила </w:t>
      </w:r>
      <w:r w:rsidRPr="00D7694C">
        <w:rPr>
          <w:bCs/>
          <w:color w:val="000000"/>
          <w:sz w:val="28"/>
          <w:szCs w:val="28"/>
        </w:rPr>
        <w:t xml:space="preserve">199, </w:t>
      </w:r>
      <w:r w:rsidRPr="00B34B73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тыс. человек; 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к</w:t>
      </w:r>
      <w:r w:rsidRPr="00D7694C">
        <w:rPr>
          <w:sz w:val="28"/>
          <w:szCs w:val="28"/>
        </w:rPr>
        <w:t>оличество субъектов малого и среднего предпринимательства (включая индивидуальных предпринимателей) в расчете на 1 тыс. человек населения в 2019 году составило 34,2 единиц (увеличение на 6,21% по отношению к 2018 году)</w:t>
      </w:r>
      <w:r>
        <w:rPr>
          <w:sz w:val="28"/>
          <w:szCs w:val="28"/>
        </w:rPr>
        <w:t xml:space="preserve">;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>- </w:t>
      </w:r>
      <w:r w:rsidRPr="00640E44">
        <w:rPr>
          <w:bCs/>
          <w:color w:val="000000"/>
          <w:sz w:val="28"/>
          <w:szCs w:val="28"/>
        </w:rPr>
        <w:t>н</w:t>
      </w:r>
      <w:r w:rsidRPr="00640E44">
        <w:rPr>
          <w:sz w:val="28"/>
          <w:szCs w:val="28"/>
        </w:rPr>
        <w:t>алоговые поступления от деятельности малого и среднего предпринимательства в бюджеты всех уровней Ленинградской области в 2019 году п</w:t>
      </w:r>
      <w:r w:rsidRPr="00640E44">
        <w:rPr>
          <w:bCs/>
          <w:color w:val="000000"/>
          <w:sz w:val="28"/>
          <w:szCs w:val="28"/>
        </w:rPr>
        <w:t xml:space="preserve">о данным </w:t>
      </w:r>
      <w:r w:rsidRPr="00640E44">
        <w:rPr>
          <w:sz w:val="28"/>
          <w:szCs w:val="28"/>
        </w:rPr>
        <w:t xml:space="preserve">УФНС по Ленинградской области составили 51,55 млрд. рублей (увеличение на 10,5% по отношению к 2018 году). 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>- сумма налоговых платежей, поступившая в консолидированный бюджет Ленинградской области по специальным налоговым режимам для субъектов МСП за 2019 год, составила 5,15  млрд. рублей (увеличение на 10,5% по отношению к 2018 году).</w:t>
      </w:r>
    </w:p>
    <w:p w:rsidR="00E46B64" w:rsidRDefault="00E46B64" w:rsidP="00E46B64">
      <w:pPr>
        <w:shd w:val="clear" w:color="auto" w:fill="FFFFFF"/>
        <w:ind w:firstLine="567"/>
        <w:jc w:val="both"/>
        <w:rPr>
          <w:sz w:val="28"/>
          <w:szCs w:val="28"/>
        </w:rPr>
      </w:pPr>
      <w:r w:rsidRPr="0059373C">
        <w:rPr>
          <w:sz w:val="28"/>
          <w:szCs w:val="28"/>
        </w:rPr>
        <w:t xml:space="preserve">В Национальном рейтинге АСИ по улучшению инвестиционного климата регионов у Ленинградской области из 9-ти ключевых показателей в направлении «Малое предпринимательство» по 8-ми в 2019 году отмечена положительная динамика. Значительно улучшились числовые показатели по 4-м направлениям, что позволило Ленинградской области войти в десятку лучших регионов России, повысив позицию с </w:t>
      </w:r>
      <w:r>
        <w:rPr>
          <w:sz w:val="28"/>
          <w:szCs w:val="28"/>
        </w:rPr>
        <w:t>двенадцатого</w:t>
      </w:r>
      <w:r w:rsidRPr="0059373C">
        <w:rPr>
          <w:sz w:val="28"/>
          <w:szCs w:val="28"/>
        </w:rPr>
        <w:t xml:space="preserve"> места на девятое. Следует отметить, что рейтинг формируется на данных независимой оценки экспертов и предпринимателей.  </w:t>
      </w:r>
    </w:p>
    <w:p w:rsidR="00E46B64" w:rsidRDefault="00E46B64" w:rsidP="00E4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7C9">
        <w:rPr>
          <w:sz w:val="28"/>
          <w:szCs w:val="28"/>
        </w:rPr>
        <w:t>Указом Президента Российской Федерации от 07 мая 2018 года № 204 определены национальные цели и стратегические задачи по 12 направлениям, среди которых отдельно выделен</w:t>
      </w:r>
      <w:r>
        <w:rPr>
          <w:sz w:val="28"/>
          <w:szCs w:val="28"/>
        </w:rPr>
        <w:t xml:space="preserve"> </w:t>
      </w:r>
      <w:r w:rsidRPr="005227C9">
        <w:rPr>
          <w:sz w:val="28"/>
          <w:szCs w:val="28"/>
        </w:rPr>
        <w:t xml:space="preserve">национальный проект «Малое и среднее предпринимательство и поддержка индивидуальной предпринимательской инициативы». </w:t>
      </w:r>
    </w:p>
    <w:p w:rsidR="00E46B64" w:rsidRDefault="00E46B64" w:rsidP="00E46B64">
      <w:pPr>
        <w:autoSpaceDE w:val="0"/>
        <w:autoSpaceDN w:val="0"/>
        <w:adjustRightInd w:val="0"/>
        <w:ind w:firstLine="709"/>
        <w:jc w:val="both"/>
        <w:rPr>
          <w:color w:val="1E1E1E"/>
          <w:sz w:val="28"/>
          <w:szCs w:val="28"/>
        </w:rPr>
      </w:pPr>
      <w:r w:rsidRPr="005227C9">
        <w:rPr>
          <w:color w:val="1E1E1E"/>
          <w:sz w:val="28"/>
          <w:szCs w:val="28"/>
        </w:rPr>
        <w:t>В рамках национального проекта в 2019 году в Ленинградской области в</w:t>
      </w:r>
      <w:r>
        <w:t> </w:t>
      </w:r>
      <w:r w:rsidRPr="005227C9">
        <w:rPr>
          <w:sz w:val="28"/>
          <w:szCs w:val="28"/>
        </w:rPr>
        <w:t xml:space="preserve">подпрограмму «Развитие малого, среднего предпринимательства и потребительского рынка Ленинградской области», утвержденную в составе государственной программы Ленинградской области «Стимулирование экономической активности Ленинградской области» (далее – подпрограмма), </w:t>
      </w:r>
      <w:r w:rsidRPr="005227C9">
        <w:rPr>
          <w:color w:val="1E1E1E"/>
          <w:sz w:val="28"/>
          <w:szCs w:val="28"/>
        </w:rPr>
        <w:t>был</w:t>
      </w:r>
      <w:r>
        <w:rPr>
          <w:color w:val="1E1E1E"/>
          <w:sz w:val="28"/>
          <w:szCs w:val="28"/>
        </w:rPr>
        <w:t>о</w:t>
      </w:r>
      <w:r w:rsidRPr="005227C9">
        <w:rPr>
          <w:color w:val="1E1E1E"/>
          <w:sz w:val="28"/>
          <w:szCs w:val="28"/>
        </w:rPr>
        <w:t xml:space="preserve"> включен</w:t>
      </w:r>
      <w:r>
        <w:rPr>
          <w:color w:val="1E1E1E"/>
          <w:sz w:val="28"/>
          <w:szCs w:val="28"/>
        </w:rPr>
        <w:t>о финансирование по следующим региональным проектам:</w:t>
      </w:r>
    </w:p>
    <w:p w:rsidR="00E46B64" w:rsidRDefault="00E46B64" w:rsidP="00E4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финансированию;</w:t>
      </w:r>
    </w:p>
    <w:p w:rsidR="00E46B64" w:rsidRDefault="00E46B64" w:rsidP="00E4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Акселерация субъектов малого и среднего предпринимательства;</w:t>
      </w:r>
    </w:p>
    <w:p w:rsidR="00E46B64" w:rsidRDefault="00E46B64" w:rsidP="00E4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предпринимательства;</w:t>
      </w:r>
    </w:p>
    <w:p w:rsidR="00E46B64" w:rsidRDefault="00E46B64" w:rsidP="00E4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ведения предпринимательской деятельности;</w:t>
      </w:r>
    </w:p>
    <w:p w:rsidR="00E46B64" w:rsidRPr="008F1BE3" w:rsidRDefault="00E46B64" w:rsidP="00E46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BE3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в рамках реализации всех мероприятий подпрограммы </w:t>
      </w:r>
      <w:r w:rsidRPr="008F1BE3">
        <w:rPr>
          <w:sz w:val="28"/>
          <w:szCs w:val="28"/>
        </w:rPr>
        <w:t xml:space="preserve"> из средств бюджетов</w:t>
      </w:r>
      <w:r>
        <w:rPr>
          <w:sz w:val="28"/>
          <w:szCs w:val="28"/>
        </w:rPr>
        <w:t xml:space="preserve"> всех уровней</w:t>
      </w:r>
      <w:r w:rsidRPr="008F1BE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</w:t>
      </w:r>
      <w:r w:rsidRPr="008F1BE3">
        <w:rPr>
          <w:sz w:val="28"/>
          <w:szCs w:val="28"/>
        </w:rPr>
        <w:t xml:space="preserve"> </w:t>
      </w:r>
      <w:r>
        <w:rPr>
          <w:sz w:val="28"/>
          <w:szCs w:val="28"/>
        </w:rPr>
        <w:t>902 500,8</w:t>
      </w:r>
      <w:r w:rsidRPr="008F1BE3">
        <w:rPr>
          <w:sz w:val="28"/>
          <w:szCs w:val="28"/>
        </w:rPr>
        <w:t> тыс. рублей, что в</w:t>
      </w:r>
      <w:r>
        <w:rPr>
          <w:sz w:val="28"/>
          <w:szCs w:val="28"/>
        </w:rPr>
        <w:t> </w:t>
      </w:r>
      <w:r w:rsidRPr="008F1BE3">
        <w:rPr>
          <w:sz w:val="28"/>
          <w:szCs w:val="28"/>
        </w:rPr>
        <w:t>1,8</w:t>
      </w:r>
      <w:r>
        <w:rPr>
          <w:sz w:val="28"/>
          <w:szCs w:val="28"/>
        </w:rPr>
        <w:t> </w:t>
      </w:r>
      <w:r w:rsidRPr="008F1BE3">
        <w:rPr>
          <w:sz w:val="28"/>
          <w:szCs w:val="28"/>
        </w:rPr>
        <w:t xml:space="preserve">раза </w:t>
      </w:r>
      <w:r>
        <w:rPr>
          <w:sz w:val="28"/>
          <w:szCs w:val="28"/>
        </w:rPr>
        <w:t>выше уровня</w:t>
      </w:r>
      <w:r w:rsidRPr="008F1BE3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(в 2018 году – 504 971,5 тыс. рублей)</w:t>
      </w:r>
      <w:r w:rsidRPr="008F1BE3">
        <w:rPr>
          <w:sz w:val="28"/>
          <w:szCs w:val="28"/>
        </w:rPr>
        <w:t>.</w:t>
      </w:r>
    </w:p>
    <w:p w:rsidR="00E46B64" w:rsidRPr="008F1BE3" w:rsidRDefault="00E46B64" w:rsidP="00E46B64">
      <w:pPr>
        <w:shd w:val="clear" w:color="auto" w:fill="FFFFFF"/>
        <w:ind w:firstLine="709"/>
        <w:jc w:val="both"/>
        <w:rPr>
          <w:sz w:val="28"/>
          <w:szCs w:val="28"/>
        </w:rPr>
      </w:pPr>
      <w:r w:rsidRPr="008F1BE3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регионального</w:t>
      </w:r>
      <w:r w:rsidRPr="008F1BE3">
        <w:rPr>
          <w:sz w:val="28"/>
          <w:szCs w:val="28"/>
        </w:rPr>
        <w:t xml:space="preserve"> проекта «Акселерация субъектов малого и среднего предпринимательства» 21 ноября 2019 года торжественно открыт Центр «Мой бизнес»  на базе Фонда «Фонд поддержки предпринимательства и промышленности Ленинградской области, микрокредитная компания»</w:t>
      </w:r>
      <w:r w:rsidR="00EE7AAA">
        <w:rPr>
          <w:sz w:val="28"/>
          <w:szCs w:val="28"/>
        </w:rPr>
        <w:t xml:space="preserve"> </w:t>
      </w:r>
      <w:r w:rsidR="00EE7AAA" w:rsidRPr="00AD0E8F">
        <w:rPr>
          <w:sz w:val="28"/>
          <w:szCs w:val="28"/>
        </w:rPr>
        <w:t>(далее – Фонд)</w:t>
      </w:r>
      <w:r w:rsidRPr="008F1BE3">
        <w:rPr>
          <w:sz w:val="28"/>
          <w:szCs w:val="28"/>
        </w:rPr>
        <w:t xml:space="preserve">, где каждый предприниматель в формате «одного окна» </w:t>
      </w:r>
      <w:r>
        <w:rPr>
          <w:sz w:val="28"/>
          <w:szCs w:val="28"/>
        </w:rPr>
        <w:t xml:space="preserve">имеет возможность </w:t>
      </w:r>
      <w:r w:rsidRPr="008F1BE3">
        <w:rPr>
          <w:sz w:val="28"/>
          <w:szCs w:val="28"/>
        </w:rPr>
        <w:t>получить комплекс услуг, сервисов и мер поддержки. Работа центра «Мой бизнес» призвана решать задачи по развитию многоуровневой инфраструктуры поддержки малого и среднего предпринимательства.</w:t>
      </w:r>
    </w:p>
    <w:p w:rsidR="00E46B64" w:rsidRPr="008F1BE3" w:rsidRDefault="00E46B64" w:rsidP="00E46B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BE3">
        <w:rPr>
          <w:sz w:val="28"/>
          <w:szCs w:val="28"/>
        </w:rPr>
        <w:t xml:space="preserve">На территории центра «Мой бизнес» площадью 828 кв. м оборудованы зона приема заявителей, ожидания и информирования, зона оказания услуг,                                      2 переговорные комнаты, 2 конференц-зала на 30 и 110 мест, </w:t>
      </w:r>
      <w:proofErr w:type="spellStart"/>
      <w:r w:rsidRPr="008F1BE3">
        <w:rPr>
          <w:sz w:val="28"/>
          <w:szCs w:val="28"/>
        </w:rPr>
        <w:t>коворкинг</w:t>
      </w:r>
      <w:proofErr w:type="spellEnd"/>
      <w:r w:rsidRPr="008F1BE3">
        <w:rPr>
          <w:sz w:val="28"/>
          <w:szCs w:val="28"/>
        </w:rPr>
        <w:t>.</w:t>
      </w:r>
    </w:p>
    <w:p w:rsidR="00E46B64" w:rsidRPr="008F1BE3" w:rsidRDefault="00E46B64" w:rsidP="0037060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2481" cy="3324225"/>
            <wp:effectExtent l="0" t="0" r="8890" b="0"/>
            <wp:docPr id="1" name="Рисунок 1" descr="DSC_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29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81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64" w:rsidRPr="00EE7AAA" w:rsidRDefault="00EE7AAA" w:rsidP="00EE7AAA">
      <w:pPr>
        <w:pStyle w:val="a5"/>
        <w:spacing w:before="0" w:beforeAutospacing="0" w:after="0" w:afterAutospacing="0"/>
        <w:ind w:firstLine="709"/>
        <w:jc w:val="center"/>
      </w:pPr>
      <w:r w:rsidRPr="00AD0E8F">
        <w:t>Торжественное открытие Центра «Мой бизнес»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r w:rsidRPr="008F1BE3">
        <w:rPr>
          <w:sz w:val="28"/>
          <w:szCs w:val="28"/>
        </w:rPr>
        <w:t xml:space="preserve">На базе Центра «Мой бизнес» сосредоточены такие инфраструктуры поддержки как: 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 xml:space="preserve">Центр поддержки предпринимательства;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 xml:space="preserve">Региональная гарантийная организация;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 xml:space="preserve">Региональная микрокредитная компания;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proofErr w:type="gramStart"/>
      <w:r w:rsidRPr="00640E44">
        <w:rPr>
          <w:sz w:val="28"/>
          <w:szCs w:val="28"/>
        </w:rPr>
        <w:t>Региональный</w:t>
      </w:r>
      <w:proofErr w:type="gramEnd"/>
      <w:r w:rsidRPr="00640E44">
        <w:rPr>
          <w:sz w:val="28"/>
          <w:szCs w:val="28"/>
        </w:rPr>
        <w:t xml:space="preserve"> центр инжиниринга;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 xml:space="preserve">Центр инноваций социальной сферы;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 xml:space="preserve">Окно МФЦ для бизнеса; 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>Уполномоченный по защите прав предпринимателей в Ленинградской области и другие.</w:t>
      </w:r>
      <w:r w:rsidRPr="008F1BE3">
        <w:rPr>
          <w:sz w:val="28"/>
          <w:szCs w:val="28"/>
        </w:rPr>
        <w:t xml:space="preserve"> </w:t>
      </w:r>
    </w:p>
    <w:p w:rsidR="00E46B64" w:rsidRPr="008F1BE3" w:rsidRDefault="00E46B64" w:rsidP="00E46B64">
      <w:pPr>
        <w:ind w:firstLine="709"/>
        <w:jc w:val="both"/>
        <w:rPr>
          <w:sz w:val="28"/>
          <w:szCs w:val="28"/>
        </w:rPr>
      </w:pPr>
      <w:r w:rsidRPr="00640E44">
        <w:rPr>
          <w:sz w:val="28"/>
          <w:szCs w:val="28"/>
        </w:rPr>
        <w:t>По итогам 2019 года на базе центра «Мой бизнес» субъектам МСП и физическим лицам, заинтересованным в начале осуществления  предпринимательской деятельности, предоставлено около четырех тысяч услуг.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proofErr w:type="gramStart"/>
      <w:r w:rsidRPr="0053600B">
        <w:rPr>
          <w:sz w:val="28"/>
          <w:szCs w:val="28"/>
        </w:rPr>
        <w:t>В рамках реализации регионального проекта «Улучшение условий ведения предпринимательской деятельности» основной задачей 2019 года являлось расширение доступа субъектов малого и среднего предприниматель</w:t>
      </w:r>
      <w:r>
        <w:rPr>
          <w:sz w:val="28"/>
          <w:szCs w:val="28"/>
        </w:rPr>
        <w:t>с</w:t>
      </w:r>
      <w:r w:rsidRPr="0053600B">
        <w:rPr>
          <w:sz w:val="28"/>
          <w:szCs w:val="28"/>
        </w:rPr>
        <w:t>тва к государственному и муниципальному имуществу за счёт включения в перечни земельных участков, имущества, находящегося на правах оперативного</w:t>
      </w:r>
      <w:r>
        <w:rPr>
          <w:sz w:val="28"/>
          <w:szCs w:val="28"/>
        </w:rPr>
        <w:t xml:space="preserve"> управления</w:t>
      </w:r>
      <w:r w:rsidRPr="0053600B">
        <w:rPr>
          <w:sz w:val="28"/>
          <w:szCs w:val="28"/>
        </w:rPr>
        <w:t xml:space="preserve"> или хозяйственного ведения у государственных и муниципальных учреждений:  </w:t>
      </w:r>
      <w:r>
        <w:rPr>
          <w:sz w:val="28"/>
          <w:szCs w:val="28"/>
        </w:rPr>
        <w:t xml:space="preserve">в результате </w:t>
      </w:r>
      <w:r w:rsidRPr="0053600B">
        <w:rPr>
          <w:sz w:val="28"/>
          <w:szCs w:val="28"/>
        </w:rPr>
        <w:t>количество объектов имущества в перечнях государственного и</w:t>
      </w:r>
      <w:r>
        <w:rPr>
          <w:sz w:val="28"/>
          <w:szCs w:val="28"/>
        </w:rPr>
        <w:t> </w:t>
      </w:r>
      <w:r w:rsidRPr="0053600B">
        <w:rPr>
          <w:sz w:val="28"/>
          <w:szCs w:val="28"/>
        </w:rPr>
        <w:t>муниципального имущества на</w:t>
      </w:r>
      <w:proofErr w:type="gramEnd"/>
      <w:r w:rsidRPr="0053600B">
        <w:rPr>
          <w:sz w:val="28"/>
          <w:szCs w:val="28"/>
        </w:rPr>
        <w:t xml:space="preserve"> территории Ленинградской области</w:t>
      </w:r>
      <w:r>
        <w:rPr>
          <w:sz w:val="28"/>
          <w:szCs w:val="28"/>
        </w:rPr>
        <w:t xml:space="preserve"> </w:t>
      </w:r>
      <w:proofErr w:type="gramStart"/>
      <w:r w:rsidRPr="00640E44">
        <w:rPr>
          <w:sz w:val="28"/>
          <w:szCs w:val="28"/>
        </w:rPr>
        <w:t>увеличилось   на 15% по отношению к 2018 году и составило</w:t>
      </w:r>
      <w:proofErr w:type="gramEnd"/>
      <w:r w:rsidRPr="00640E44">
        <w:rPr>
          <w:sz w:val="28"/>
          <w:szCs w:val="28"/>
        </w:rPr>
        <w:t xml:space="preserve"> около 1400 объектов.</w:t>
      </w:r>
      <w:r w:rsidRPr="0053600B">
        <w:rPr>
          <w:sz w:val="28"/>
          <w:szCs w:val="28"/>
        </w:rPr>
        <w:t xml:space="preserve"> </w:t>
      </w:r>
    </w:p>
    <w:p w:rsidR="00E46B64" w:rsidRPr="00630208" w:rsidRDefault="00E46B64" w:rsidP="00E4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208">
        <w:rPr>
          <w:sz w:val="28"/>
          <w:szCs w:val="28"/>
        </w:rPr>
        <w:t>В 2019 году комитет по развитию малого, среднего бизнеса и потребительского  рынка изучил успешные практики первых пилотных регионов (</w:t>
      </w:r>
      <w:proofErr w:type="spellStart"/>
      <w:r w:rsidRPr="00630208">
        <w:rPr>
          <w:sz w:val="28"/>
          <w:szCs w:val="28"/>
        </w:rPr>
        <w:t>г</w:t>
      </w:r>
      <w:proofErr w:type="gramStart"/>
      <w:r w:rsidRPr="00630208">
        <w:rPr>
          <w:sz w:val="28"/>
          <w:szCs w:val="28"/>
        </w:rPr>
        <w:t>.М</w:t>
      </w:r>
      <w:proofErr w:type="gramEnd"/>
      <w:r w:rsidRPr="00630208">
        <w:rPr>
          <w:sz w:val="28"/>
          <w:szCs w:val="28"/>
        </w:rPr>
        <w:t>осква</w:t>
      </w:r>
      <w:proofErr w:type="spellEnd"/>
      <w:r w:rsidRPr="00630208">
        <w:rPr>
          <w:sz w:val="28"/>
          <w:szCs w:val="28"/>
        </w:rPr>
        <w:t>, Московская и Калужская области, Республика Татарстан), участвующих в эксперименте по установлению специального налогового режима «Налог на профессиональный доход» и разработал мероприятия информационной кампании для граждан и  индивидуальных предпринимателей  о введении нового специального налогового режима для самозанятых, его преимуществах и</w:t>
      </w:r>
      <w:r>
        <w:rPr>
          <w:sz w:val="28"/>
          <w:szCs w:val="28"/>
        </w:rPr>
        <w:t xml:space="preserve"> особенностях уплаты налога на</w:t>
      </w:r>
      <w:r w:rsidRPr="00630208">
        <w:rPr>
          <w:sz w:val="28"/>
          <w:szCs w:val="28"/>
        </w:rPr>
        <w:t xml:space="preserve"> профессиональный доход. С 1 января 2020 года Ленинградская область вступ</w:t>
      </w:r>
      <w:r>
        <w:rPr>
          <w:sz w:val="28"/>
          <w:szCs w:val="28"/>
        </w:rPr>
        <w:t>ила</w:t>
      </w:r>
      <w:r w:rsidRPr="00630208">
        <w:rPr>
          <w:sz w:val="28"/>
          <w:szCs w:val="28"/>
        </w:rPr>
        <w:t xml:space="preserve"> в данный эксперимент, который направлен на стимулирование самозанятых граждан к легализации доходов. </w:t>
      </w:r>
    </w:p>
    <w:p w:rsidR="00E46B64" w:rsidRPr="00640E44" w:rsidRDefault="00E46B64" w:rsidP="00E46B64">
      <w:pPr>
        <w:ind w:firstLine="709"/>
        <w:jc w:val="both"/>
        <w:rPr>
          <w:sz w:val="28"/>
          <w:szCs w:val="28"/>
        </w:rPr>
      </w:pPr>
      <w:r w:rsidRPr="00630208">
        <w:rPr>
          <w:sz w:val="28"/>
          <w:szCs w:val="28"/>
        </w:rPr>
        <w:t xml:space="preserve">По результатам работы в 2020 году на территории Ленинградской области должно быть зарегистрировано не менее 13 </w:t>
      </w:r>
      <w:r>
        <w:rPr>
          <w:sz w:val="28"/>
          <w:szCs w:val="28"/>
        </w:rPr>
        <w:t>600</w:t>
      </w:r>
      <w:r w:rsidRPr="00630208">
        <w:rPr>
          <w:sz w:val="28"/>
          <w:szCs w:val="28"/>
        </w:rPr>
        <w:t xml:space="preserve"> граждан и индивидуальных предпринимателей, использующих налоговый режим для самозанятых.</w:t>
      </w:r>
      <w:r>
        <w:rPr>
          <w:sz w:val="28"/>
          <w:szCs w:val="28"/>
        </w:rPr>
        <w:t xml:space="preserve"> За первый месяц </w:t>
      </w:r>
      <w:r w:rsidRPr="00640E44">
        <w:rPr>
          <w:sz w:val="28"/>
          <w:szCs w:val="28"/>
        </w:rPr>
        <w:t xml:space="preserve">2020 года в Ленинградской области зарегистрировано 3500 плательщиков налога на </w:t>
      </w:r>
      <w:r w:rsidRPr="00630208">
        <w:rPr>
          <w:sz w:val="28"/>
          <w:szCs w:val="28"/>
        </w:rPr>
        <w:t>профессиональный доход</w:t>
      </w:r>
      <w:r>
        <w:rPr>
          <w:sz w:val="28"/>
          <w:szCs w:val="28"/>
        </w:rPr>
        <w:t>.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r w:rsidRPr="004A4642">
        <w:rPr>
          <w:sz w:val="28"/>
          <w:szCs w:val="28"/>
        </w:rPr>
        <w:t>В рамках реализации регионального проекта «Расширение доступа субъектов МСП к финансовым ресурсам, в том чи</w:t>
      </w:r>
      <w:r>
        <w:rPr>
          <w:sz w:val="28"/>
          <w:szCs w:val="28"/>
        </w:rPr>
        <w:t>сле к льготному финансированию»</w:t>
      </w:r>
      <w:r w:rsidRPr="004A4642">
        <w:rPr>
          <w:sz w:val="28"/>
          <w:szCs w:val="28"/>
        </w:rPr>
        <w:t>:</w:t>
      </w:r>
    </w:p>
    <w:p w:rsidR="00E46B64" w:rsidRPr="002B7168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E1B">
        <w:rPr>
          <w:rFonts w:ascii="Times New Roman" w:hAnsi="Times New Roman"/>
          <w:sz w:val="28"/>
          <w:szCs w:val="28"/>
        </w:rPr>
        <w:t xml:space="preserve">За 2019 год </w:t>
      </w:r>
      <w:proofErr w:type="gramStart"/>
      <w:r w:rsidRPr="00273E1B">
        <w:rPr>
          <w:rFonts w:ascii="Times New Roman" w:hAnsi="Times New Roman"/>
          <w:sz w:val="28"/>
          <w:szCs w:val="28"/>
        </w:rPr>
        <w:t>региональной</w:t>
      </w:r>
      <w:proofErr w:type="gramEnd"/>
      <w:r w:rsidRPr="00273E1B">
        <w:rPr>
          <w:rFonts w:ascii="Times New Roman" w:hAnsi="Times New Roman"/>
          <w:sz w:val="28"/>
          <w:szCs w:val="28"/>
        </w:rPr>
        <w:t xml:space="preserve"> и муниципальными </w:t>
      </w:r>
      <w:proofErr w:type="spellStart"/>
      <w:r w:rsidRPr="00273E1B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273E1B">
        <w:rPr>
          <w:rFonts w:ascii="Times New Roman" w:hAnsi="Times New Roman"/>
          <w:sz w:val="28"/>
          <w:szCs w:val="28"/>
        </w:rPr>
        <w:t xml:space="preserve"> организациями предоставлено </w:t>
      </w:r>
      <w:r>
        <w:rPr>
          <w:rFonts w:ascii="Times New Roman" w:hAnsi="Times New Roman"/>
          <w:sz w:val="28"/>
          <w:szCs w:val="28"/>
        </w:rPr>
        <w:t>субъектам МСП около 300</w:t>
      </w:r>
      <w:r w:rsidRPr="00273E1B">
        <w:rPr>
          <w:rFonts w:ascii="Times New Roman" w:hAnsi="Times New Roman"/>
          <w:sz w:val="28"/>
          <w:szCs w:val="28"/>
        </w:rPr>
        <w:t xml:space="preserve"> микрозайм</w:t>
      </w:r>
      <w:r w:rsidR="000C4BF4">
        <w:rPr>
          <w:rFonts w:ascii="Times New Roman" w:hAnsi="Times New Roman"/>
          <w:sz w:val="28"/>
          <w:szCs w:val="28"/>
        </w:rPr>
        <w:t>ов</w:t>
      </w:r>
      <w:r w:rsidRPr="00273E1B">
        <w:rPr>
          <w:rFonts w:ascii="Times New Roman" w:hAnsi="Times New Roman"/>
          <w:sz w:val="28"/>
          <w:szCs w:val="28"/>
        </w:rPr>
        <w:t xml:space="preserve"> на</w:t>
      </w:r>
      <w:r w:rsidR="000C4BF4">
        <w:rPr>
          <w:rFonts w:ascii="Times New Roman" w:hAnsi="Times New Roman"/>
          <w:sz w:val="28"/>
          <w:szCs w:val="28"/>
        </w:rPr>
        <w:t> </w:t>
      </w:r>
      <w:r w:rsidRPr="00273E1B">
        <w:rPr>
          <w:rFonts w:ascii="Times New Roman" w:hAnsi="Times New Roman"/>
          <w:sz w:val="28"/>
          <w:szCs w:val="28"/>
        </w:rPr>
        <w:t xml:space="preserve"> льготных условиях на общую сумму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273E1B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млн. рублей, что значительно больше</w:t>
      </w:r>
      <w:r w:rsidRPr="002B7168">
        <w:rPr>
          <w:rFonts w:ascii="Times New Roman" w:hAnsi="Times New Roman"/>
          <w:sz w:val="28"/>
          <w:szCs w:val="28"/>
        </w:rPr>
        <w:t>, чем в</w:t>
      </w:r>
      <w:r>
        <w:rPr>
          <w:rFonts w:ascii="Times New Roman" w:hAnsi="Times New Roman"/>
          <w:sz w:val="28"/>
          <w:szCs w:val="28"/>
        </w:rPr>
        <w:t> </w:t>
      </w:r>
      <w:r w:rsidRPr="002B716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 году</w:t>
      </w:r>
      <w:r w:rsidR="000C4BF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168">
        <w:rPr>
          <w:rFonts w:ascii="Times New Roman" w:hAnsi="Times New Roman"/>
          <w:sz w:val="28"/>
          <w:szCs w:val="28"/>
        </w:rPr>
        <w:t xml:space="preserve">общая сумма микрозаймов 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2B7168">
        <w:rPr>
          <w:rFonts w:ascii="Times New Roman" w:hAnsi="Times New Roman"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168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2B7168">
        <w:rPr>
          <w:rFonts w:ascii="Times New Roman" w:hAnsi="Times New Roman"/>
          <w:sz w:val="28"/>
          <w:szCs w:val="28"/>
        </w:rPr>
        <w:t>.</w:t>
      </w:r>
    </w:p>
    <w:p w:rsidR="00E46B64" w:rsidRPr="00273E1B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168">
        <w:rPr>
          <w:rFonts w:ascii="Times New Roman" w:hAnsi="Times New Roman"/>
          <w:sz w:val="28"/>
          <w:szCs w:val="28"/>
        </w:rPr>
        <w:t xml:space="preserve">Капитал </w:t>
      </w:r>
      <w:proofErr w:type="spellStart"/>
      <w:r w:rsidRPr="002B7168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2B7168">
        <w:rPr>
          <w:rFonts w:ascii="Times New Roman" w:hAnsi="Times New Roman"/>
          <w:sz w:val="28"/>
          <w:szCs w:val="28"/>
        </w:rPr>
        <w:t xml:space="preserve"> организаций за 2019 год увеличен на</w:t>
      </w:r>
      <w:r>
        <w:rPr>
          <w:rFonts w:ascii="Times New Roman" w:hAnsi="Times New Roman"/>
          <w:sz w:val="28"/>
          <w:szCs w:val="28"/>
        </w:rPr>
        <w:t> </w:t>
      </w:r>
      <w:r w:rsidRPr="002B7168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 </w:t>
      </w:r>
      <w:r w:rsidRPr="002B7168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> </w:t>
      </w:r>
      <w:r w:rsidRPr="002B7168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2B7168">
        <w:rPr>
          <w:rFonts w:ascii="Times New Roman" w:hAnsi="Times New Roman"/>
          <w:sz w:val="28"/>
          <w:szCs w:val="28"/>
        </w:rPr>
        <w:t>, что на 129 млн. руб</w:t>
      </w:r>
      <w:r>
        <w:rPr>
          <w:rFonts w:ascii="Times New Roman" w:hAnsi="Times New Roman"/>
          <w:sz w:val="28"/>
          <w:szCs w:val="28"/>
        </w:rPr>
        <w:t>лей</w:t>
      </w:r>
      <w:r w:rsidRPr="002B7168">
        <w:rPr>
          <w:rFonts w:ascii="Times New Roman" w:hAnsi="Times New Roman"/>
          <w:sz w:val="28"/>
          <w:szCs w:val="28"/>
        </w:rPr>
        <w:t xml:space="preserve"> больше по сравнению с 2018 годом, и по состоянию на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2B716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B7168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около 557</w:t>
      </w:r>
      <w:r w:rsidRPr="002B7168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2B7168">
        <w:rPr>
          <w:rFonts w:ascii="Times New Roman" w:hAnsi="Times New Roman"/>
          <w:sz w:val="28"/>
          <w:szCs w:val="28"/>
        </w:rPr>
        <w:t xml:space="preserve"> (прирост составил 52% по 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C4B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16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января 2</w:t>
      </w:r>
      <w:r w:rsidRPr="002B7168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B7168">
        <w:rPr>
          <w:rFonts w:ascii="Times New Roman" w:hAnsi="Times New Roman"/>
          <w:sz w:val="28"/>
          <w:szCs w:val="28"/>
        </w:rPr>
        <w:t>)</w:t>
      </w:r>
    </w:p>
    <w:p w:rsidR="00E46B64" w:rsidRDefault="00E46B64" w:rsidP="00E46B64">
      <w:pPr>
        <w:ind w:firstLine="709"/>
        <w:jc w:val="both"/>
        <w:rPr>
          <w:sz w:val="28"/>
          <w:szCs w:val="28"/>
        </w:rPr>
      </w:pPr>
      <w:r w:rsidRPr="00273E1B">
        <w:rPr>
          <w:sz w:val="28"/>
          <w:szCs w:val="28"/>
        </w:rPr>
        <w:t>По состоянию на 01</w:t>
      </w:r>
      <w:r w:rsidR="000C4BF4">
        <w:rPr>
          <w:sz w:val="28"/>
          <w:szCs w:val="28"/>
        </w:rPr>
        <w:t xml:space="preserve"> января </w:t>
      </w:r>
      <w:r w:rsidRPr="00273E1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273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Pr="00273E1B">
        <w:rPr>
          <w:sz w:val="28"/>
          <w:szCs w:val="28"/>
        </w:rPr>
        <w:t xml:space="preserve">действующих договоров микрозаймов составило 654 ед. на общую сумму </w:t>
      </w:r>
      <w:r>
        <w:rPr>
          <w:sz w:val="28"/>
          <w:szCs w:val="28"/>
        </w:rPr>
        <w:t xml:space="preserve">более </w:t>
      </w:r>
      <w:r w:rsidRPr="00273E1B">
        <w:rPr>
          <w:sz w:val="28"/>
          <w:szCs w:val="28"/>
        </w:rPr>
        <w:t>437</w:t>
      </w:r>
      <w:r>
        <w:rPr>
          <w:sz w:val="28"/>
          <w:szCs w:val="28"/>
        </w:rPr>
        <w:t xml:space="preserve"> </w:t>
      </w:r>
      <w:r w:rsidRPr="00273E1B">
        <w:rPr>
          <w:sz w:val="28"/>
          <w:szCs w:val="28"/>
        </w:rPr>
        <w:t xml:space="preserve"> млн. </w:t>
      </w:r>
      <w:r w:rsidRPr="002B7168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показатель регионального </w:t>
      </w:r>
      <w:r w:rsidRPr="009910B7">
        <w:rPr>
          <w:sz w:val="28"/>
          <w:szCs w:val="28"/>
        </w:rPr>
        <w:t>проекта «Расширение доступа субъектов МСП к финансовым ресурсам, в том числе к льготному финансированию</w:t>
      </w:r>
      <w:r>
        <w:rPr>
          <w:sz w:val="28"/>
          <w:szCs w:val="28"/>
        </w:rPr>
        <w:t>» перевыполнен на 8% (плановое значение количества микрозаймов – 602 ед.).</w:t>
      </w:r>
    </w:p>
    <w:p w:rsidR="00E46B64" w:rsidRPr="00273E1B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E1B">
        <w:rPr>
          <w:rFonts w:ascii="Times New Roman" w:hAnsi="Times New Roman"/>
          <w:sz w:val="28"/>
          <w:szCs w:val="28"/>
        </w:rPr>
        <w:t xml:space="preserve">В 2019 году Фондом увеличен гарантийный капитал </w:t>
      </w:r>
      <w:r>
        <w:rPr>
          <w:rFonts w:ascii="Times New Roman" w:hAnsi="Times New Roman"/>
          <w:sz w:val="28"/>
          <w:szCs w:val="28"/>
        </w:rPr>
        <w:t>региональной гарантийной организации (</w:t>
      </w:r>
      <w:r w:rsidRPr="00273E1B">
        <w:rPr>
          <w:rFonts w:ascii="Times New Roman" w:hAnsi="Times New Roman"/>
          <w:sz w:val="28"/>
          <w:szCs w:val="28"/>
        </w:rPr>
        <w:t>РГО</w:t>
      </w:r>
      <w:r>
        <w:rPr>
          <w:rFonts w:ascii="Times New Roman" w:hAnsi="Times New Roman"/>
          <w:sz w:val="28"/>
          <w:szCs w:val="28"/>
        </w:rPr>
        <w:t>)</w:t>
      </w:r>
      <w:r w:rsidRPr="00273E1B">
        <w:rPr>
          <w:rFonts w:ascii="Times New Roman" w:hAnsi="Times New Roman"/>
          <w:sz w:val="28"/>
          <w:szCs w:val="28"/>
        </w:rPr>
        <w:t xml:space="preserve"> </w:t>
      </w:r>
      <w:r w:rsidR="000C4BF4">
        <w:rPr>
          <w:rFonts w:ascii="Times New Roman" w:hAnsi="Times New Roman"/>
          <w:sz w:val="28"/>
          <w:szCs w:val="28"/>
        </w:rPr>
        <w:t>более чем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E1B">
        <w:rPr>
          <w:rFonts w:ascii="Times New Roman" w:hAnsi="Times New Roman"/>
          <w:sz w:val="28"/>
          <w:szCs w:val="28"/>
        </w:rPr>
        <w:t>9</w:t>
      </w:r>
      <w:r w:rsidR="000C4BF4">
        <w:rPr>
          <w:rFonts w:ascii="Times New Roman" w:hAnsi="Times New Roman"/>
          <w:sz w:val="28"/>
          <w:szCs w:val="28"/>
        </w:rPr>
        <w:t>0</w:t>
      </w:r>
      <w:r w:rsidRPr="00273E1B">
        <w:rPr>
          <w:rFonts w:ascii="Times New Roman" w:hAnsi="Times New Roman"/>
          <w:sz w:val="28"/>
          <w:szCs w:val="28"/>
        </w:rPr>
        <w:t xml:space="preserve"> млн. </w:t>
      </w:r>
      <w:r w:rsidRPr="002B7168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273E1B">
        <w:rPr>
          <w:rFonts w:ascii="Times New Roman" w:hAnsi="Times New Roman"/>
          <w:sz w:val="28"/>
          <w:szCs w:val="28"/>
        </w:rPr>
        <w:t xml:space="preserve"> (по сравнению с</w:t>
      </w:r>
      <w:r>
        <w:rPr>
          <w:rFonts w:ascii="Times New Roman" w:hAnsi="Times New Roman"/>
          <w:sz w:val="28"/>
          <w:szCs w:val="28"/>
        </w:rPr>
        <w:t> </w:t>
      </w:r>
      <w:r w:rsidRPr="00273E1B">
        <w:rPr>
          <w:rFonts w:ascii="Times New Roman" w:hAnsi="Times New Roman"/>
          <w:sz w:val="28"/>
          <w:szCs w:val="28"/>
        </w:rPr>
        <w:t>01</w:t>
      </w:r>
      <w:r w:rsidR="000C4BF4">
        <w:rPr>
          <w:rFonts w:ascii="Times New Roman" w:hAnsi="Times New Roman"/>
          <w:sz w:val="28"/>
          <w:szCs w:val="28"/>
        </w:rPr>
        <w:t xml:space="preserve"> января </w:t>
      </w:r>
      <w:r w:rsidRPr="00273E1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 года</w:t>
      </w:r>
      <w:r w:rsidRPr="00273E1B">
        <w:rPr>
          <w:rFonts w:ascii="Times New Roman" w:hAnsi="Times New Roman"/>
          <w:sz w:val="28"/>
          <w:szCs w:val="28"/>
        </w:rPr>
        <w:t>) и по состоянию на 01</w:t>
      </w:r>
      <w:r w:rsidR="000C4BF4">
        <w:rPr>
          <w:rFonts w:ascii="Times New Roman" w:hAnsi="Times New Roman"/>
          <w:sz w:val="28"/>
          <w:szCs w:val="28"/>
        </w:rPr>
        <w:t xml:space="preserve"> января </w:t>
      </w:r>
      <w:r w:rsidRPr="00273E1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73E1B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около 390 </w:t>
      </w:r>
      <w:r w:rsidRPr="00273E1B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> </w:t>
      </w:r>
      <w:r w:rsidRPr="002B7168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</w:t>
      </w:r>
    </w:p>
    <w:p w:rsidR="00E46B64" w:rsidRPr="00273E1B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E1B">
        <w:rPr>
          <w:rFonts w:ascii="Times New Roman" w:hAnsi="Times New Roman"/>
          <w:sz w:val="28"/>
          <w:szCs w:val="28"/>
        </w:rPr>
        <w:t>При поддержке Фонда, как региональной гарантийной организаци</w:t>
      </w:r>
      <w:r w:rsidR="000C4BF4">
        <w:rPr>
          <w:rFonts w:ascii="Times New Roman" w:hAnsi="Times New Roman"/>
          <w:sz w:val="28"/>
          <w:szCs w:val="28"/>
        </w:rPr>
        <w:t>ей</w:t>
      </w:r>
      <w:r w:rsidRPr="00273E1B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 </w:t>
      </w:r>
      <w:r w:rsidRPr="00273E1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 </w:t>
      </w:r>
      <w:r w:rsidRPr="00273E1B">
        <w:rPr>
          <w:rFonts w:ascii="Times New Roman" w:hAnsi="Times New Roman"/>
          <w:sz w:val="28"/>
          <w:szCs w:val="28"/>
        </w:rPr>
        <w:t>году субъектами МСП привлечено кредитов под поручительства РГО в</w:t>
      </w:r>
      <w:r>
        <w:rPr>
          <w:rFonts w:ascii="Times New Roman" w:hAnsi="Times New Roman"/>
          <w:sz w:val="28"/>
          <w:szCs w:val="28"/>
        </w:rPr>
        <w:t> </w:t>
      </w:r>
      <w:r w:rsidRPr="00273E1B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свыше </w:t>
      </w:r>
      <w:r w:rsidRPr="00273E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273E1B">
        <w:rPr>
          <w:rFonts w:ascii="Times New Roman" w:hAnsi="Times New Roman"/>
          <w:sz w:val="28"/>
          <w:szCs w:val="28"/>
        </w:rPr>
        <w:t>6 мл</w:t>
      </w:r>
      <w:r>
        <w:rPr>
          <w:rFonts w:ascii="Times New Roman" w:hAnsi="Times New Roman"/>
          <w:sz w:val="28"/>
          <w:szCs w:val="28"/>
        </w:rPr>
        <w:t>рд</w:t>
      </w:r>
      <w:r w:rsidRPr="00273E1B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273E1B">
        <w:rPr>
          <w:rFonts w:ascii="Times New Roman" w:hAnsi="Times New Roman"/>
          <w:sz w:val="28"/>
          <w:szCs w:val="28"/>
        </w:rPr>
        <w:t xml:space="preserve"> при плановом показателе – 776,1 млн. руб</w:t>
      </w:r>
      <w:r>
        <w:rPr>
          <w:rFonts w:ascii="Times New Roman" w:hAnsi="Times New Roman"/>
          <w:sz w:val="28"/>
          <w:szCs w:val="28"/>
        </w:rPr>
        <w:t>лей</w:t>
      </w:r>
      <w:r w:rsidRPr="00273E1B">
        <w:rPr>
          <w:rFonts w:ascii="Times New Roman" w:hAnsi="Times New Roman"/>
          <w:sz w:val="28"/>
          <w:szCs w:val="28"/>
        </w:rPr>
        <w:t>.</w:t>
      </w:r>
    </w:p>
    <w:p w:rsidR="00E46B64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85">
        <w:rPr>
          <w:rFonts w:ascii="Times New Roman" w:hAnsi="Times New Roman"/>
          <w:sz w:val="28"/>
          <w:szCs w:val="28"/>
        </w:rPr>
        <w:t>В рамках реализации регионального проекта «Популяризация предпринимательства»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B603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B64" w:rsidRPr="00B60385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385">
        <w:rPr>
          <w:rFonts w:ascii="Times New Roman" w:hAnsi="Times New Roman"/>
          <w:sz w:val="28"/>
          <w:szCs w:val="28"/>
        </w:rPr>
        <w:t>разработана и утверждена</w:t>
      </w:r>
      <w:proofErr w:type="gramEnd"/>
      <w:r w:rsidRPr="00B60385">
        <w:rPr>
          <w:rFonts w:ascii="Times New Roman" w:hAnsi="Times New Roman"/>
          <w:sz w:val="28"/>
          <w:szCs w:val="28"/>
        </w:rPr>
        <w:t xml:space="preserve"> комплексная программа по  вовлечению в</w:t>
      </w:r>
      <w:r w:rsidR="000C4BF4"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>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С целью реализации утвержденной комплексной программы проведены публичные, коммуникативные мероприятия: форумы, конференции, слеты, круглые столы, встречи с субъектами МСП и другими участниками проекта,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85">
        <w:rPr>
          <w:rFonts w:ascii="Times New Roman" w:hAnsi="Times New Roman"/>
          <w:sz w:val="28"/>
          <w:szCs w:val="28"/>
        </w:rPr>
        <w:t xml:space="preserve">массовые обучающие программы, направленные на развитие </w:t>
      </w:r>
      <w:proofErr w:type="spellStart"/>
      <w:r w:rsidRPr="00B60385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B60385">
        <w:rPr>
          <w:rFonts w:ascii="Times New Roman" w:hAnsi="Times New Roman"/>
          <w:sz w:val="28"/>
          <w:szCs w:val="28"/>
        </w:rPr>
        <w:t xml:space="preserve"> компетенций у населения;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85">
        <w:rPr>
          <w:rFonts w:ascii="Times New Roman" w:hAnsi="Times New Roman"/>
          <w:sz w:val="28"/>
          <w:szCs w:val="28"/>
        </w:rPr>
        <w:t>мероприятия, направленные на</w:t>
      </w:r>
      <w:r w:rsidR="000C4BF4"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>выявление у участников предрасположенностей к профессиональным навыкам и компетенциям;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85">
        <w:rPr>
          <w:rFonts w:ascii="Times New Roman" w:hAnsi="Times New Roman"/>
          <w:sz w:val="28"/>
          <w:szCs w:val="28"/>
        </w:rPr>
        <w:t>обучающие мероприятия, направленные на развитие предпринимательских и иных компетенций у участников проекта;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85">
        <w:rPr>
          <w:rFonts w:ascii="Times New Roman" w:hAnsi="Times New Roman"/>
          <w:sz w:val="28"/>
          <w:szCs w:val="28"/>
        </w:rPr>
        <w:t>программы и</w:t>
      </w:r>
      <w:r w:rsidR="000C4BF4"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>проекты, направленные на вовлечение в предпринимательскую деятельность молодежи в возрасте 14-17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0385">
        <w:rPr>
          <w:rFonts w:ascii="Times New Roman" w:hAnsi="Times New Roman"/>
          <w:sz w:val="28"/>
          <w:szCs w:val="28"/>
        </w:rPr>
        <w:t>Всего в рамках комплексной программы в</w:t>
      </w:r>
      <w:r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 xml:space="preserve">отчетный период проведено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B603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40</w:t>
      </w:r>
      <w:r w:rsidRPr="00B60385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E46B64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385">
        <w:rPr>
          <w:rFonts w:ascii="Times New Roman" w:hAnsi="Times New Roman"/>
          <w:sz w:val="28"/>
          <w:szCs w:val="28"/>
        </w:rPr>
        <w:t>разработана и утверждена</w:t>
      </w:r>
      <w:proofErr w:type="gramEnd"/>
      <w:r w:rsidRPr="00B60385">
        <w:rPr>
          <w:rFonts w:ascii="Times New Roman" w:hAnsi="Times New Roman"/>
          <w:sz w:val="28"/>
          <w:szCs w:val="28"/>
        </w:rPr>
        <w:t xml:space="preserve"> региональная программа обучения, в которую включены обучающие мероприятия по федеральным программам ОА</w:t>
      </w:r>
      <w:r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>«Корпорация МСП», АО «Деловая с</w:t>
      </w:r>
      <w:r>
        <w:rPr>
          <w:rFonts w:ascii="Times New Roman" w:hAnsi="Times New Roman"/>
          <w:sz w:val="28"/>
          <w:szCs w:val="28"/>
        </w:rPr>
        <w:t xml:space="preserve">реда»; </w:t>
      </w:r>
    </w:p>
    <w:p w:rsidR="00E46B64" w:rsidRPr="00B60385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60385">
        <w:rPr>
          <w:rFonts w:ascii="Times New Roman" w:hAnsi="Times New Roman"/>
          <w:sz w:val="28"/>
          <w:szCs w:val="28"/>
        </w:rPr>
        <w:t xml:space="preserve"> рамках реализации плана проведения региональной информационной кампании в 2019 году: сняты и прошли в эфире телевизионные сюжеты, совместно с сообществом </w:t>
      </w:r>
      <w:proofErr w:type="spellStart"/>
      <w:r w:rsidRPr="00B60385">
        <w:rPr>
          <w:rFonts w:ascii="Times New Roman" w:hAnsi="Times New Roman"/>
          <w:sz w:val="28"/>
          <w:szCs w:val="28"/>
        </w:rPr>
        <w:t>блогеров</w:t>
      </w:r>
      <w:proofErr w:type="spellEnd"/>
      <w:r w:rsidRPr="00B60385">
        <w:rPr>
          <w:rFonts w:ascii="Times New Roman" w:hAnsi="Times New Roman"/>
          <w:sz w:val="28"/>
          <w:szCs w:val="28"/>
        </w:rPr>
        <w:t xml:space="preserve"> Санкт-Петербурга и Ленинградской области организовано 5 пресс-туров на малые и средние предприятия в пять районов Ленинградской области, размещены 18 публикаций в печатных изданиях СМИ, озвучена реклама на радио</w:t>
      </w:r>
      <w:r>
        <w:rPr>
          <w:rFonts w:ascii="Times New Roman" w:hAnsi="Times New Roman"/>
          <w:sz w:val="28"/>
          <w:szCs w:val="28"/>
        </w:rPr>
        <w:t>,</w:t>
      </w:r>
      <w:r w:rsidRPr="00B60385">
        <w:rPr>
          <w:rFonts w:ascii="Times New Roman" w:hAnsi="Times New Roman"/>
          <w:sz w:val="28"/>
          <w:szCs w:val="28"/>
        </w:rPr>
        <w:t xml:space="preserve"> записаны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B60385">
        <w:rPr>
          <w:rFonts w:ascii="Times New Roman" w:hAnsi="Times New Roman"/>
          <w:sz w:val="28"/>
          <w:szCs w:val="28"/>
        </w:rPr>
        <w:t xml:space="preserve"> телевизионны</w:t>
      </w:r>
      <w:r>
        <w:rPr>
          <w:rFonts w:ascii="Times New Roman" w:hAnsi="Times New Roman"/>
          <w:sz w:val="28"/>
          <w:szCs w:val="28"/>
        </w:rPr>
        <w:t>х</w:t>
      </w:r>
      <w:r w:rsidRPr="00B60385">
        <w:rPr>
          <w:rFonts w:ascii="Times New Roman" w:hAnsi="Times New Roman"/>
          <w:sz w:val="28"/>
          <w:szCs w:val="28"/>
        </w:rPr>
        <w:t xml:space="preserve"> сюжет</w:t>
      </w:r>
      <w:r>
        <w:rPr>
          <w:rFonts w:ascii="Times New Roman" w:hAnsi="Times New Roman"/>
          <w:sz w:val="28"/>
          <w:szCs w:val="28"/>
        </w:rPr>
        <w:t>ов</w:t>
      </w:r>
      <w:r w:rsidRPr="00B60385">
        <w:rPr>
          <w:rFonts w:ascii="Times New Roman" w:hAnsi="Times New Roman"/>
          <w:sz w:val="28"/>
          <w:szCs w:val="28"/>
        </w:rPr>
        <w:t>, размещено 768</w:t>
      </w:r>
      <w:r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>публикаций в социальных сетях</w:t>
      </w:r>
      <w:proofErr w:type="gramEnd"/>
      <w:r w:rsidRPr="00B60385">
        <w:rPr>
          <w:rFonts w:ascii="Times New Roman" w:hAnsi="Times New Roman"/>
          <w:sz w:val="28"/>
          <w:szCs w:val="28"/>
        </w:rPr>
        <w:t>, 2904 публикаций на сайтах муниципальных организаций поддержки предпринимательства Ленинградской области, 54</w:t>
      </w:r>
      <w:r>
        <w:rPr>
          <w:rFonts w:ascii="Times New Roman" w:hAnsi="Times New Roman"/>
          <w:sz w:val="28"/>
          <w:szCs w:val="28"/>
        </w:rPr>
        <w:t> </w:t>
      </w:r>
      <w:r w:rsidRPr="00B60385">
        <w:rPr>
          <w:rFonts w:ascii="Times New Roman" w:hAnsi="Times New Roman"/>
          <w:sz w:val="28"/>
          <w:szCs w:val="28"/>
        </w:rPr>
        <w:t xml:space="preserve">публикации на </w:t>
      </w:r>
      <w:proofErr w:type="gramStart"/>
      <w:r w:rsidRPr="00B60385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B60385">
        <w:rPr>
          <w:rFonts w:ascii="Times New Roman" w:hAnsi="Times New Roman"/>
          <w:sz w:val="28"/>
          <w:szCs w:val="28"/>
        </w:rPr>
        <w:t xml:space="preserve"> «Новости Ленобласти».</w:t>
      </w:r>
    </w:p>
    <w:p w:rsidR="00E46B64" w:rsidRPr="00B60385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85">
        <w:rPr>
          <w:rFonts w:ascii="Times New Roman" w:hAnsi="Times New Roman"/>
          <w:sz w:val="28"/>
          <w:szCs w:val="28"/>
        </w:rPr>
        <w:t>Пять тренеров Ленинградской области прошли подготовку для обучения целевых групп по утвержденным федеральным методикам для обучения целевых групп по учебным программам, утверждённым Минэкономразвития</w:t>
      </w:r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E46B64" w:rsidRPr="00B60385" w:rsidRDefault="00E46B64" w:rsidP="00E46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85">
        <w:rPr>
          <w:rFonts w:ascii="Times New Roman" w:hAnsi="Times New Roman"/>
          <w:sz w:val="28"/>
          <w:szCs w:val="28"/>
        </w:rPr>
        <w:t xml:space="preserve">Обеспечено проведение обучения основам ведения бизнеса, финансовой грамотности и иным навыкам предпринимательской деятельности участников федерального проекта. Количество обученных основам ведения бизнеса составило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B6038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0</w:t>
      </w:r>
      <w:r w:rsidRPr="00B60385">
        <w:rPr>
          <w:rFonts w:ascii="Times New Roman" w:hAnsi="Times New Roman"/>
          <w:sz w:val="28"/>
          <w:szCs w:val="28"/>
        </w:rPr>
        <w:t>0 человек, в том числе действующих предпринимателей, школьников, лиц в возрасте до 30 лет и студентов, женщин, военнослужащих, уволенных в запас, лиц старше 45 лет, безработных, инвалидов, выпускников и воспитанников детских домов.</w:t>
      </w:r>
    </w:p>
    <w:p w:rsidR="00E46B64" w:rsidRPr="00AD0E8F" w:rsidRDefault="00EE7AAA" w:rsidP="0031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р</w:t>
      </w:r>
      <w:r w:rsidR="00E46B64" w:rsidRPr="0059373C">
        <w:rPr>
          <w:sz w:val="28"/>
          <w:szCs w:val="28"/>
        </w:rPr>
        <w:t xml:space="preserve">егиональных </w:t>
      </w:r>
      <w:r w:rsidR="00E46B64" w:rsidRPr="00AD0E8F">
        <w:rPr>
          <w:sz w:val="28"/>
          <w:szCs w:val="28"/>
        </w:rPr>
        <w:t>проектов</w:t>
      </w:r>
      <w:r w:rsidR="00312192" w:rsidRPr="00AD0E8F">
        <w:rPr>
          <w:sz w:val="28"/>
          <w:szCs w:val="28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инициативы»,</w:t>
      </w:r>
      <w:r w:rsidR="00E46B64" w:rsidRPr="00AD0E8F">
        <w:rPr>
          <w:sz w:val="28"/>
          <w:szCs w:val="28"/>
        </w:rPr>
        <w:t xml:space="preserve"> в 2019 году представлены в таблице 1.</w:t>
      </w:r>
    </w:p>
    <w:p w:rsidR="00E46B64" w:rsidRPr="00AD0E8F" w:rsidRDefault="00E46B64" w:rsidP="00E46B6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AD0E8F">
        <w:rPr>
          <w:sz w:val="28"/>
          <w:szCs w:val="28"/>
        </w:rPr>
        <w:t>Таблица 1</w:t>
      </w:r>
    </w:p>
    <w:p w:rsidR="00EE7AAA" w:rsidRPr="00AD0E8F" w:rsidRDefault="00EE7AAA" w:rsidP="00E46B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D0E8F">
        <w:rPr>
          <w:sz w:val="28"/>
          <w:szCs w:val="28"/>
        </w:rPr>
        <w:t>Результаты реализации р</w:t>
      </w:r>
      <w:r w:rsidR="00E46B64" w:rsidRPr="00AD0E8F">
        <w:rPr>
          <w:sz w:val="28"/>
          <w:szCs w:val="28"/>
        </w:rPr>
        <w:t>егиональных проектов</w:t>
      </w:r>
      <w:r w:rsidRPr="00AD0E8F">
        <w:rPr>
          <w:sz w:val="28"/>
          <w:szCs w:val="28"/>
        </w:rPr>
        <w:t xml:space="preserve">, </w:t>
      </w:r>
    </w:p>
    <w:p w:rsidR="00E46B64" w:rsidRPr="0059373C" w:rsidRDefault="00EE7AAA" w:rsidP="00E46B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AD0E8F">
        <w:rPr>
          <w:sz w:val="28"/>
          <w:szCs w:val="28"/>
        </w:rPr>
        <w:t>реализуемых в рамках национального проекта «Малое и среднее предпринимательство и поддержка индивидуальной предпринимательской инициативы»,</w:t>
      </w:r>
      <w:r w:rsidR="0037060B" w:rsidRPr="00AD0E8F">
        <w:rPr>
          <w:sz w:val="28"/>
          <w:szCs w:val="28"/>
        </w:rPr>
        <w:t xml:space="preserve"> </w:t>
      </w:r>
      <w:r w:rsidR="00E46B64" w:rsidRPr="00AD0E8F">
        <w:rPr>
          <w:sz w:val="28"/>
          <w:szCs w:val="28"/>
        </w:rPr>
        <w:t>в 2019 году</w:t>
      </w:r>
      <w:proofErr w:type="gramEnd"/>
    </w:p>
    <w:p w:rsidR="00E46B64" w:rsidRPr="0059373C" w:rsidRDefault="00E46B64" w:rsidP="00E46B64">
      <w:pPr>
        <w:pStyle w:val="a5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E46B64" w:rsidRPr="0059373C" w:rsidTr="007526EF">
        <w:trPr>
          <w:trHeight w:val="715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bCs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bCs/>
              </w:rPr>
              <w:t>План</w:t>
            </w:r>
            <w:r w:rsidRPr="0059373C">
              <w:br/>
            </w:r>
            <w:r w:rsidRPr="0059373C">
              <w:rPr>
                <w:bCs/>
              </w:rPr>
              <w:t>2019 г.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bCs/>
              </w:rPr>
            </w:pPr>
            <w:r w:rsidRPr="0059373C">
              <w:rPr>
                <w:bCs/>
              </w:rPr>
              <w:t>Факт</w:t>
            </w:r>
          </w:p>
          <w:p w:rsidR="00E46B64" w:rsidRPr="0059373C" w:rsidRDefault="00E46B64" w:rsidP="00C933DA">
            <w:pPr>
              <w:jc w:val="center"/>
              <w:rPr>
                <w:bCs/>
              </w:rPr>
            </w:pPr>
            <w:r w:rsidRPr="0059373C">
              <w:rPr>
                <w:bCs/>
              </w:rPr>
              <w:t>2019 г.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  <w:rPr>
                <w:bCs/>
              </w:rPr>
            </w:pPr>
            <w:r w:rsidRPr="0059373C">
              <w:rPr>
                <w:bCs/>
              </w:rPr>
              <w:t>% выполнения</w:t>
            </w:r>
          </w:p>
        </w:tc>
      </w:tr>
      <w:tr w:rsidR="00E46B64" w:rsidRPr="0059373C" w:rsidTr="007526EF">
        <w:trPr>
          <w:trHeight w:val="402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7526EF">
            <w:pPr>
              <w:jc w:val="center"/>
              <w:rPr>
                <w:b/>
                <w:color w:val="000000"/>
                <w:kern w:val="24"/>
              </w:rPr>
            </w:pPr>
            <w:r w:rsidRPr="0059373C">
              <w:rPr>
                <w:b/>
                <w:color w:val="000000"/>
                <w:kern w:val="24"/>
              </w:rPr>
              <w:t>АКСЕЛЕРАЦИЯ СУБЪЕКТОВ МСП</w:t>
            </w:r>
          </w:p>
        </w:tc>
      </w:tr>
      <w:tr w:rsidR="00E46B64" w:rsidRPr="0059373C" w:rsidTr="007526EF">
        <w:trPr>
          <w:trHeight w:val="825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64" w:rsidRPr="0059373C" w:rsidRDefault="00E46B64" w:rsidP="00014C7E">
            <w:r w:rsidRPr="0059373C">
              <w:rPr>
                <w:bCs/>
              </w:rPr>
              <w:t xml:space="preserve">Количество субъектов МСП и самозанятых граждан, получивших поддержку в рамках РП «Акселерация», единиц 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bCs/>
                <w:color w:val="000000"/>
                <w:kern w:val="24"/>
              </w:rPr>
              <w:t>1916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color w:val="000000"/>
                <w:kern w:val="24"/>
              </w:rPr>
            </w:pPr>
            <w:r w:rsidRPr="0059373C">
              <w:rPr>
                <w:color w:val="000000"/>
                <w:kern w:val="24"/>
              </w:rPr>
              <w:t>1998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color w:val="000000"/>
                <w:kern w:val="24"/>
              </w:rPr>
              <w:t>104,3 %</w:t>
            </w:r>
          </w:p>
        </w:tc>
      </w:tr>
      <w:tr w:rsidR="00E46B64" w:rsidRPr="0059373C" w:rsidTr="00014C7E">
        <w:trPr>
          <w:trHeight w:val="530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014C7E">
            <w:r w:rsidRPr="0059373C">
              <w:t>Доля субъектов МСП, охваченных услугами Центра "Мой бизнес«, %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3%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3,125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104,2 %</w:t>
            </w:r>
          </w:p>
        </w:tc>
      </w:tr>
      <w:tr w:rsidR="00E46B64" w:rsidRPr="0059373C" w:rsidTr="00014C7E">
        <w:trPr>
          <w:trHeight w:val="494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014C7E">
            <w:pPr>
              <w:rPr>
                <w:bCs/>
              </w:rPr>
            </w:pPr>
            <w:r w:rsidRPr="0059373C">
              <w:rPr>
                <w:bCs/>
              </w:rPr>
              <w:t>Количество субъектов МСП, выведенных на экспорт, единиц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color w:val="000000"/>
                <w:kern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color w:val="000000"/>
                <w:kern w:val="24"/>
                <w:lang w:val="en-US"/>
              </w:rPr>
            </w:pPr>
            <w:r w:rsidRPr="0059373C">
              <w:rPr>
                <w:color w:val="000000"/>
                <w:kern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100%</w:t>
            </w:r>
          </w:p>
        </w:tc>
      </w:tr>
      <w:tr w:rsidR="00E46B64" w:rsidRPr="0059373C" w:rsidTr="00014C7E">
        <w:trPr>
          <w:trHeight w:val="504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014C7E">
            <w:r w:rsidRPr="0059373C">
              <w:t>Кол-во субъектов МСП в моногородах, получивших поддержку, ед.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4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lang w:val="en-US"/>
              </w:rPr>
            </w:pPr>
            <w:r w:rsidRPr="0059373C"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</w:t>
            </w:r>
            <w:r w:rsidRPr="0059373C">
              <w:rPr>
                <w:lang w:val="en-US"/>
              </w:rPr>
              <w:t>50</w:t>
            </w:r>
            <w:r w:rsidRPr="0059373C">
              <w:t xml:space="preserve"> %</w:t>
            </w:r>
          </w:p>
        </w:tc>
      </w:tr>
      <w:tr w:rsidR="00E46B64" w:rsidRPr="0059373C" w:rsidTr="007526EF">
        <w:trPr>
          <w:trHeight w:val="545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C933DA">
            <w:pPr>
              <w:jc w:val="center"/>
              <w:rPr>
                <w:b/>
                <w:caps/>
              </w:rPr>
            </w:pPr>
            <w:r w:rsidRPr="0059373C">
              <w:rPr>
                <w:b/>
                <w:caps/>
              </w:rPr>
              <w:t xml:space="preserve">Расширение доступа субъектов МСП к финансовым ресурсам, </w:t>
            </w:r>
          </w:p>
          <w:p w:rsidR="00E46B64" w:rsidRPr="0059373C" w:rsidRDefault="00E46B64" w:rsidP="00C933DA">
            <w:pPr>
              <w:jc w:val="center"/>
            </w:pPr>
            <w:r w:rsidRPr="0059373C">
              <w:rPr>
                <w:b/>
                <w:caps/>
              </w:rPr>
              <w:t>в том числе к льготному финансированию</w:t>
            </w:r>
          </w:p>
        </w:tc>
      </w:tr>
      <w:tr w:rsidR="00E46B64" w:rsidRPr="0059373C" w:rsidTr="00014C7E">
        <w:trPr>
          <w:trHeight w:val="526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014C7E">
            <w:r w:rsidRPr="0059373C">
              <w:t>Количество выдаваемых микрозаймов МФО субъектам МСП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602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</w:pPr>
            <w:r>
              <w:t>654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>
              <w:t>108,64</w:t>
            </w:r>
            <w:r w:rsidRPr="0059373C">
              <w:t>%</w:t>
            </w:r>
          </w:p>
        </w:tc>
      </w:tr>
      <w:tr w:rsidR="00E46B64" w:rsidRPr="0059373C" w:rsidTr="007526EF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C933DA">
            <w:pPr>
              <w:jc w:val="center"/>
              <w:rPr>
                <w:b/>
              </w:rPr>
            </w:pPr>
            <w:r w:rsidRPr="0059373C">
              <w:rPr>
                <w:b/>
              </w:rPr>
              <w:t>ПОПУЛЯРИЗАЦИЯ ПРЕДПРИНИМАТЕЛЬСТВА</w:t>
            </w:r>
          </w:p>
        </w:tc>
      </w:tr>
      <w:tr w:rsidR="00E46B64" w:rsidRPr="0059373C" w:rsidTr="00014C7E">
        <w:trPr>
          <w:trHeight w:val="838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C933DA">
            <w:pPr>
              <w:rPr>
                <w:color w:val="000000"/>
              </w:rPr>
            </w:pPr>
            <w:r w:rsidRPr="0059373C">
              <w:rPr>
                <w:color w:val="000000"/>
              </w:rPr>
              <w:t xml:space="preserve">Количество </w:t>
            </w:r>
            <w:proofErr w:type="gramStart"/>
            <w:r w:rsidRPr="0059373C">
              <w:rPr>
                <w:color w:val="000000"/>
              </w:rPr>
              <w:t>обученных</w:t>
            </w:r>
            <w:proofErr w:type="gramEnd"/>
            <w:r w:rsidRPr="0059373C">
              <w:rPr>
                <w:color w:val="000000"/>
              </w:rPr>
              <w:t xml:space="preserve"> основам ведения бизнеса, финансовой грамотности и иным навыкам </w:t>
            </w:r>
            <w:r w:rsidRPr="0059373C">
              <w:rPr>
                <w:bCs/>
                <w:color w:val="000000"/>
              </w:rPr>
              <w:t xml:space="preserve"> </w:t>
            </w:r>
            <w:r w:rsidRPr="0059373C">
              <w:rPr>
                <w:color w:val="000000"/>
              </w:rPr>
              <w:t>предпринимательской деятельности,</w:t>
            </w:r>
            <w:r w:rsidRPr="0059373C">
              <w:rPr>
                <w:bCs/>
                <w:color w:val="000000"/>
              </w:rPr>
              <w:t xml:space="preserve"> </w:t>
            </w:r>
            <w:proofErr w:type="spellStart"/>
            <w:r w:rsidRPr="0059373C">
              <w:rPr>
                <w:bCs/>
                <w:color w:val="000000"/>
              </w:rPr>
              <w:t>тыс.ед</w:t>
            </w:r>
            <w:proofErr w:type="spellEnd"/>
            <w:r w:rsidRPr="0059373C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color w:val="000000"/>
                <w:spacing w:val="-2"/>
              </w:rPr>
              <w:t>1,407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bCs/>
                <w:color w:val="000000"/>
              </w:rPr>
            </w:pPr>
            <w:r w:rsidRPr="0059373C">
              <w:rPr>
                <w:bCs/>
                <w:color w:val="000000"/>
              </w:rPr>
              <w:t xml:space="preserve">1,810 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128,6 %</w:t>
            </w:r>
          </w:p>
        </w:tc>
      </w:tr>
      <w:tr w:rsidR="00E46B64" w:rsidRPr="0059373C" w:rsidTr="00014C7E">
        <w:trPr>
          <w:trHeight w:val="1093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C933DA">
            <w:pPr>
              <w:rPr>
                <w:color w:val="000000"/>
              </w:rPr>
            </w:pPr>
            <w:r w:rsidRPr="0059373C">
              <w:rPr>
                <w:color w:val="000000"/>
              </w:rPr>
              <w:t>Количество вновь созданных субъектов малого и среднего предпринимательства участниками федерального проекта «Популяризация предпринимательства»,  тыс. ед.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0,138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bCs/>
                <w:color w:val="000000"/>
              </w:rPr>
            </w:pPr>
            <w:r w:rsidRPr="0059373C">
              <w:rPr>
                <w:bCs/>
                <w:color w:val="000000"/>
              </w:rPr>
              <w:t xml:space="preserve">0,152 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110,14 %</w:t>
            </w:r>
          </w:p>
        </w:tc>
      </w:tr>
      <w:tr w:rsidR="00E46B64" w:rsidRPr="0059373C" w:rsidTr="00014C7E">
        <w:trPr>
          <w:trHeight w:val="1249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C933DA">
            <w:pPr>
              <w:rPr>
                <w:color w:val="000000"/>
              </w:rPr>
            </w:pPr>
            <w:r w:rsidRPr="0059373C">
              <w:rPr>
                <w:color w:val="000000"/>
              </w:rPr>
              <w:t>Количество физических лиц -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</w:t>
            </w:r>
            <w:r w:rsidRPr="0059373C">
              <w:rPr>
                <w:bCs/>
                <w:color w:val="000000"/>
              </w:rPr>
              <w:t xml:space="preserve"> </w:t>
            </w:r>
            <w:proofErr w:type="spellStart"/>
            <w:r w:rsidRPr="0059373C">
              <w:rPr>
                <w:bCs/>
                <w:color w:val="000000"/>
              </w:rPr>
              <w:t>тыс.ед</w:t>
            </w:r>
            <w:proofErr w:type="spellEnd"/>
            <w:r w:rsidRPr="0059373C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color w:val="000000"/>
                <w:spacing w:val="-2"/>
              </w:rPr>
              <w:t>0,469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bCs/>
                <w:color w:val="000000"/>
              </w:rPr>
            </w:pPr>
            <w:r w:rsidRPr="0059373C">
              <w:rPr>
                <w:bCs/>
                <w:color w:val="000000"/>
              </w:rPr>
              <w:t xml:space="preserve">0,914 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194,9 %</w:t>
            </w:r>
          </w:p>
        </w:tc>
      </w:tr>
      <w:tr w:rsidR="00E46B64" w:rsidRPr="0059373C" w:rsidTr="00014C7E">
        <w:trPr>
          <w:trHeight w:val="483"/>
        </w:trPr>
        <w:tc>
          <w:tcPr>
            <w:tcW w:w="59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6B64" w:rsidRPr="0059373C" w:rsidRDefault="00E46B64" w:rsidP="00C933DA">
            <w:pPr>
              <w:rPr>
                <w:color w:val="000000"/>
              </w:rPr>
            </w:pPr>
            <w:r w:rsidRPr="0059373C">
              <w:rPr>
                <w:color w:val="000000"/>
              </w:rPr>
              <w:t>Количество физических лиц – участников федерального проекта,</w:t>
            </w:r>
            <w:r w:rsidRPr="0059373C">
              <w:rPr>
                <w:bCs/>
                <w:color w:val="000000"/>
              </w:rPr>
              <w:t xml:space="preserve"> </w:t>
            </w:r>
            <w:proofErr w:type="spellStart"/>
            <w:r w:rsidRPr="0059373C">
              <w:rPr>
                <w:bCs/>
                <w:color w:val="000000"/>
              </w:rPr>
              <w:t>тыс.ед</w:t>
            </w:r>
            <w:proofErr w:type="spellEnd"/>
            <w:r w:rsidRPr="0059373C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rPr>
                <w:color w:val="000000"/>
                <w:spacing w:val="-2"/>
              </w:rPr>
              <w:t>7,687</w:t>
            </w:r>
          </w:p>
        </w:tc>
        <w:tc>
          <w:tcPr>
            <w:tcW w:w="1275" w:type="dxa"/>
            <w:vAlign w:val="center"/>
          </w:tcPr>
          <w:p w:rsidR="00E46B64" w:rsidRPr="0059373C" w:rsidRDefault="00E46B64" w:rsidP="00C933DA">
            <w:pPr>
              <w:jc w:val="center"/>
              <w:rPr>
                <w:bCs/>
                <w:color w:val="000000"/>
              </w:rPr>
            </w:pPr>
            <w:r w:rsidRPr="0059373C">
              <w:rPr>
                <w:bCs/>
                <w:color w:val="000000"/>
              </w:rPr>
              <w:t xml:space="preserve">7,750 </w:t>
            </w:r>
          </w:p>
        </w:tc>
        <w:tc>
          <w:tcPr>
            <w:tcW w:w="1418" w:type="dxa"/>
            <w:vAlign w:val="center"/>
          </w:tcPr>
          <w:p w:rsidR="00E46B64" w:rsidRPr="0059373C" w:rsidRDefault="00E46B64" w:rsidP="00C933DA">
            <w:pPr>
              <w:jc w:val="center"/>
            </w:pPr>
            <w:r w:rsidRPr="0059373C">
              <w:t>100,8 %</w:t>
            </w:r>
          </w:p>
        </w:tc>
      </w:tr>
    </w:tbl>
    <w:p w:rsidR="00E46B64" w:rsidRPr="008041FA" w:rsidRDefault="00E46B64" w:rsidP="00E46B64">
      <w:pPr>
        <w:ind w:firstLine="640"/>
        <w:jc w:val="both"/>
        <w:rPr>
          <w:sz w:val="28"/>
          <w:szCs w:val="28"/>
        </w:rPr>
      </w:pPr>
      <w:proofErr w:type="gramStart"/>
      <w:r w:rsidRPr="008041FA">
        <w:rPr>
          <w:sz w:val="28"/>
          <w:szCs w:val="28"/>
        </w:rPr>
        <w:t>В 2019 году в распоряжение Правительства Ленинградской области от 29.09.2016 №750-р «О мерах по расширению участия субъектов малого предпринимательства в исполнении государственного и муниципального заказа Ленинградской области» внесены изменения по увеличению рекомендуемого для государственных и муниципальных заказчиков объема закупок у субъектов малого предпринимательства с 30 до 35 процентов от совокупного годового объема закупок.</w:t>
      </w:r>
      <w:proofErr w:type="gramEnd"/>
      <w:r w:rsidRPr="008041FA">
        <w:rPr>
          <w:sz w:val="28"/>
          <w:szCs w:val="28"/>
        </w:rPr>
        <w:t xml:space="preserve"> По оперативным расчетам по итогам 2019 года государственными и муниципальными заказчиками закуплено у субъектов малого предпринимательства более 35% от годового объема закупок товаров, работ, услуг.</w:t>
      </w:r>
    </w:p>
    <w:p w:rsidR="00E46B64" w:rsidRDefault="00E46B64" w:rsidP="00E46B64">
      <w:pPr>
        <w:ind w:firstLine="640"/>
        <w:jc w:val="both"/>
        <w:rPr>
          <w:sz w:val="28"/>
          <w:szCs w:val="28"/>
        </w:rPr>
      </w:pPr>
      <w:r w:rsidRPr="008041FA">
        <w:rPr>
          <w:sz w:val="28"/>
          <w:szCs w:val="28"/>
        </w:rPr>
        <w:t xml:space="preserve">В 2019 году продолжены мероприятия по расширению доступа субъектов малого и среднего предпринимательства к закупкам крупнейших заказчиков, в том числе проведены совместно с АО «Корпорация «МСП» обучающие семинары по вопросам участия субъектов малого и среднего предпринимательства в закупках товаров, работ, услуг. </w:t>
      </w:r>
      <w:proofErr w:type="gramStart"/>
      <w:r w:rsidRPr="008041FA">
        <w:rPr>
          <w:sz w:val="28"/>
          <w:szCs w:val="28"/>
        </w:rPr>
        <w:t>В целом объем закупок крупнейших заказчиков регионального и федерального уровня у малого и среднего бизнеса Ленинградской области в 2019 году составил 16,</w:t>
      </w:r>
      <w:r>
        <w:rPr>
          <w:sz w:val="28"/>
          <w:szCs w:val="28"/>
        </w:rPr>
        <w:t>4</w:t>
      </w:r>
      <w:r w:rsidRPr="008041FA">
        <w:rPr>
          <w:sz w:val="28"/>
          <w:szCs w:val="28"/>
        </w:rPr>
        <w:t xml:space="preserve"> млрд</w:t>
      </w:r>
      <w:r>
        <w:rPr>
          <w:sz w:val="28"/>
          <w:szCs w:val="28"/>
        </w:rPr>
        <w:t>.</w:t>
      </w:r>
      <w:r w:rsidRPr="008041FA">
        <w:rPr>
          <w:sz w:val="28"/>
          <w:szCs w:val="28"/>
        </w:rPr>
        <w:t xml:space="preserve"> рублей, прирост по сравнению с 2018 годом составляет 3%. Количество субъектов малого и среднего предпринимательства, принявших участие в закупках, в 2019 году увеличилось на 7% (2018 год - 693 ед., 2019 год – 742 ед.). </w:t>
      </w:r>
      <w:proofErr w:type="gramEnd"/>
    </w:p>
    <w:p w:rsidR="00E46B64" w:rsidRPr="0059373C" w:rsidRDefault="00E46B64" w:rsidP="00E46B64">
      <w:pPr>
        <w:ind w:firstLine="640"/>
        <w:jc w:val="both"/>
        <w:rPr>
          <w:sz w:val="28"/>
          <w:szCs w:val="28"/>
        </w:rPr>
      </w:pPr>
      <w:r w:rsidRPr="0059373C">
        <w:rPr>
          <w:sz w:val="28"/>
          <w:szCs w:val="28"/>
        </w:rPr>
        <w:t>С июля 2019 года в Ленинградской области перечень видов поддержки</w:t>
      </w:r>
      <w:r>
        <w:rPr>
          <w:sz w:val="28"/>
          <w:szCs w:val="28"/>
        </w:rPr>
        <w:t xml:space="preserve"> </w:t>
      </w:r>
      <w:r w:rsidRPr="0059373C">
        <w:rPr>
          <w:sz w:val="28"/>
          <w:szCs w:val="28"/>
        </w:rPr>
        <w:t>в сфере социального предпринимательства расширился субсидией на возмещение расходов частным детским садам, имеющим лицензию на осуществление образовательной деятельности.</w:t>
      </w:r>
      <w:r>
        <w:rPr>
          <w:sz w:val="28"/>
          <w:szCs w:val="28"/>
        </w:rPr>
        <w:t xml:space="preserve"> </w:t>
      </w:r>
      <w:r w:rsidRPr="0059373C">
        <w:rPr>
          <w:sz w:val="28"/>
          <w:szCs w:val="28"/>
        </w:rPr>
        <w:t>За счет выделяемых субсидий из областного бюджета, получатели (частные дошкольные образовательные организации) взяли на себя обязанность  установить родительскую плату не более 5 000 руб</w:t>
      </w:r>
      <w:r>
        <w:rPr>
          <w:sz w:val="28"/>
          <w:szCs w:val="28"/>
        </w:rPr>
        <w:t>лей</w:t>
      </w:r>
      <w:r w:rsidRPr="0059373C">
        <w:rPr>
          <w:sz w:val="28"/>
          <w:szCs w:val="28"/>
        </w:rPr>
        <w:t xml:space="preserve"> в месяц. В 2019 году на данный вид поддержки реализовано </w:t>
      </w:r>
      <w:r>
        <w:rPr>
          <w:sz w:val="28"/>
          <w:szCs w:val="28"/>
        </w:rPr>
        <w:t>порядка 60</w:t>
      </w:r>
      <w:r w:rsidRPr="0059373C">
        <w:rPr>
          <w:sz w:val="28"/>
          <w:szCs w:val="28"/>
        </w:rPr>
        <w:t> млн.</w:t>
      </w:r>
      <w:r>
        <w:rPr>
          <w:sz w:val="28"/>
          <w:szCs w:val="28"/>
        </w:rPr>
        <w:t> </w:t>
      </w:r>
      <w:r w:rsidRPr="0059373C">
        <w:rPr>
          <w:sz w:val="28"/>
          <w:szCs w:val="28"/>
        </w:rPr>
        <w:t>рублей. В 2020 году эту сумму планируется увеличить в три раза.</w:t>
      </w:r>
    </w:p>
    <w:p w:rsidR="00E46B64" w:rsidRPr="0059373C" w:rsidRDefault="00E46B64" w:rsidP="00E46B64">
      <w:pPr>
        <w:ind w:firstLine="640"/>
        <w:jc w:val="both"/>
        <w:rPr>
          <w:sz w:val="28"/>
          <w:szCs w:val="28"/>
        </w:rPr>
      </w:pPr>
      <w:r w:rsidRPr="0059373C">
        <w:rPr>
          <w:sz w:val="28"/>
          <w:szCs w:val="28"/>
        </w:rPr>
        <w:t>В Год здорового образа жизни в Ленинградской области на базе Фонда  начал работать Центр компетенций в сфере массового спорта и ЗОЖ для малого и  среднего бизнеса. </w:t>
      </w:r>
      <w:proofErr w:type="gramStart"/>
      <w:r w:rsidRPr="0059373C">
        <w:rPr>
          <w:sz w:val="28"/>
          <w:szCs w:val="28"/>
        </w:rPr>
        <w:t>На базе Центра компетенций предприниматели и те, у кого есть желание попробовать свои силы в перспективном и востребованном ЗОЖ-бизнесе, получают новые навыки и знания, находят единомышленников, проходят обучение.</w:t>
      </w:r>
      <w:proofErr w:type="gramEnd"/>
      <w:r w:rsidRPr="0059373C">
        <w:rPr>
          <w:sz w:val="28"/>
          <w:szCs w:val="28"/>
        </w:rPr>
        <w:t xml:space="preserve"> Там помогают разработать бизнес-план, подобрать площадку для развития, получить имущественную и финансовую поддержку от областного правительства.</w:t>
      </w:r>
    </w:p>
    <w:p w:rsidR="00E46B64" w:rsidRPr="0059373C" w:rsidRDefault="00E46B64" w:rsidP="00E46B64">
      <w:pPr>
        <w:ind w:firstLine="708"/>
        <w:jc w:val="both"/>
        <w:rPr>
          <w:sz w:val="28"/>
          <w:szCs w:val="28"/>
        </w:rPr>
      </w:pPr>
      <w:r w:rsidRPr="0059373C">
        <w:rPr>
          <w:sz w:val="28"/>
          <w:szCs w:val="28"/>
        </w:rPr>
        <w:t xml:space="preserve">В направлении развития </w:t>
      </w:r>
      <w:r>
        <w:rPr>
          <w:sz w:val="28"/>
          <w:szCs w:val="28"/>
        </w:rPr>
        <w:t>субъектов</w:t>
      </w:r>
      <w:r w:rsidRPr="0059373C">
        <w:rPr>
          <w:sz w:val="28"/>
          <w:szCs w:val="28"/>
        </w:rPr>
        <w:t xml:space="preserve"> МСП, действующих в сфере спорта и</w:t>
      </w:r>
      <w:r>
        <w:rPr>
          <w:sz w:val="28"/>
          <w:szCs w:val="28"/>
        </w:rPr>
        <w:t> </w:t>
      </w:r>
      <w:r w:rsidRPr="0059373C">
        <w:rPr>
          <w:sz w:val="28"/>
          <w:szCs w:val="28"/>
        </w:rPr>
        <w:t>здорового образа жизни, разработаны нов</w:t>
      </w:r>
      <w:r>
        <w:rPr>
          <w:sz w:val="28"/>
          <w:szCs w:val="28"/>
        </w:rPr>
        <w:t>ые меры поддержки, в том числе  </w:t>
      </w:r>
      <w:r w:rsidRPr="0059373C">
        <w:rPr>
          <w:sz w:val="28"/>
          <w:szCs w:val="28"/>
        </w:rPr>
        <w:t>мероприятия</w:t>
      </w:r>
      <w:r>
        <w:rPr>
          <w:sz w:val="28"/>
          <w:szCs w:val="28"/>
        </w:rPr>
        <w:t>,</w:t>
      </w:r>
      <w:r w:rsidRPr="0059373C">
        <w:rPr>
          <w:sz w:val="28"/>
          <w:szCs w:val="28"/>
        </w:rPr>
        <w:t xml:space="preserve"> включенны</w:t>
      </w:r>
      <w:r>
        <w:rPr>
          <w:sz w:val="28"/>
          <w:szCs w:val="28"/>
        </w:rPr>
        <w:t>е</w:t>
      </w:r>
      <w:r w:rsidRPr="0059373C">
        <w:rPr>
          <w:sz w:val="28"/>
          <w:szCs w:val="28"/>
        </w:rPr>
        <w:t xml:space="preserve"> в План мероприятий Года здорового образа жизни:</w:t>
      </w:r>
    </w:p>
    <w:p w:rsidR="00E46B64" w:rsidRPr="0059373C" w:rsidRDefault="00E46B64" w:rsidP="00E4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73C">
        <w:rPr>
          <w:sz w:val="28"/>
          <w:szCs w:val="28"/>
        </w:rPr>
        <w:t xml:space="preserve">проведение мероприятий по «выращиванию» субъектов малого бизнеса, осуществляющих деятельность в сфере здорового образа жизни, в рамках программ </w:t>
      </w:r>
      <w:proofErr w:type="gramStart"/>
      <w:r w:rsidRPr="0059373C">
        <w:rPr>
          <w:sz w:val="28"/>
          <w:szCs w:val="28"/>
        </w:rPr>
        <w:t>бизнес-акселерации</w:t>
      </w:r>
      <w:proofErr w:type="gramEnd"/>
      <w:r w:rsidRPr="0059373C">
        <w:rPr>
          <w:sz w:val="28"/>
          <w:szCs w:val="28"/>
        </w:rPr>
        <w:t xml:space="preserve"> с последующим сопровождением  бизнес-проектов;</w:t>
      </w:r>
    </w:p>
    <w:p w:rsidR="00E46B64" w:rsidRPr="0059373C" w:rsidRDefault="00E46B64" w:rsidP="00E4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73C">
        <w:rPr>
          <w:sz w:val="28"/>
          <w:szCs w:val="28"/>
        </w:rPr>
        <w:t xml:space="preserve">обеспечение финансового сопровождения (предоставление микрозаймов, гарантийной поддержки, льготного лизинга, субсидий, в том числе на организацию предпринимательской деятельности) </w:t>
      </w:r>
      <w:proofErr w:type="gramStart"/>
      <w:r w:rsidRPr="0059373C">
        <w:rPr>
          <w:sz w:val="28"/>
          <w:szCs w:val="28"/>
        </w:rPr>
        <w:t>бизнес-проектов</w:t>
      </w:r>
      <w:proofErr w:type="gramEnd"/>
      <w:r w:rsidRPr="0059373C">
        <w:rPr>
          <w:sz w:val="28"/>
          <w:szCs w:val="28"/>
        </w:rPr>
        <w:t xml:space="preserve"> в сфере здорового образа жизни;</w:t>
      </w:r>
    </w:p>
    <w:p w:rsidR="00E46B64" w:rsidRPr="0059373C" w:rsidRDefault="00E46B64" w:rsidP="00E4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73C">
        <w:rPr>
          <w:sz w:val="28"/>
          <w:szCs w:val="28"/>
        </w:rPr>
        <w:t>проведение конкурса «Лучший прое</w:t>
      </w:r>
      <w:proofErr w:type="gramStart"/>
      <w:r w:rsidRPr="0059373C">
        <w:rPr>
          <w:sz w:val="28"/>
          <w:szCs w:val="28"/>
        </w:rPr>
        <w:t>кт в сф</w:t>
      </w:r>
      <w:proofErr w:type="gramEnd"/>
      <w:r w:rsidRPr="0059373C">
        <w:rPr>
          <w:sz w:val="28"/>
          <w:szCs w:val="28"/>
        </w:rPr>
        <w:t>ере здорового образа жизни»</w:t>
      </w:r>
      <w:r w:rsidRPr="0059373C">
        <w:rPr>
          <w:sz w:val="28"/>
          <w:szCs w:val="28"/>
        </w:rPr>
        <w:br/>
        <w:t>в рамках областн</w:t>
      </w:r>
      <w:r>
        <w:rPr>
          <w:sz w:val="28"/>
          <w:szCs w:val="28"/>
        </w:rPr>
        <w:t>ого конкурса «Бизнес-признание».</w:t>
      </w:r>
    </w:p>
    <w:p w:rsidR="00E46B64" w:rsidRPr="0059373C" w:rsidRDefault="00E46B64" w:rsidP="00E46B64">
      <w:pPr>
        <w:ind w:firstLine="708"/>
        <w:jc w:val="both"/>
        <w:rPr>
          <w:sz w:val="28"/>
          <w:szCs w:val="28"/>
        </w:rPr>
      </w:pPr>
      <w:r w:rsidRPr="0059373C">
        <w:rPr>
          <w:sz w:val="28"/>
          <w:szCs w:val="28"/>
        </w:rPr>
        <w:t xml:space="preserve">В рамках проведения Недели предпринимательства и областного конкурса «Бизнес-признание» 19 мая состоялся день «Даёшь бизнес в стиле ЗОЖ» </w:t>
      </w:r>
      <w:r w:rsidRPr="0059373C">
        <w:rPr>
          <w:sz w:val="28"/>
          <w:szCs w:val="28"/>
        </w:rPr>
        <w:br/>
        <w:t>и прошел конкурсный отбор в номинации  «Лучший прое</w:t>
      </w:r>
      <w:proofErr w:type="gramStart"/>
      <w:r w:rsidRPr="0059373C">
        <w:rPr>
          <w:sz w:val="28"/>
          <w:szCs w:val="28"/>
        </w:rPr>
        <w:t>кт в сф</w:t>
      </w:r>
      <w:proofErr w:type="gramEnd"/>
      <w:r w:rsidRPr="0059373C">
        <w:rPr>
          <w:sz w:val="28"/>
          <w:szCs w:val="28"/>
        </w:rPr>
        <w:t xml:space="preserve">ере здорового образа жизни» и названы лучшие малые и средние компании в сфере здорового образа жизни. </w:t>
      </w:r>
    </w:p>
    <w:p w:rsidR="00E46B64" w:rsidRPr="0059373C" w:rsidRDefault="00E46B64" w:rsidP="00E46B64">
      <w:pPr>
        <w:ind w:firstLine="708"/>
        <w:jc w:val="both"/>
        <w:rPr>
          <w:sz w:val="28"/>
          <w:szCs w:val="28"/>
        </w:rPr>
      </w:pPr>
      <w:r w:rsidRPr="0059373C">
        <w:rPr>
          <w:sz w:val="28"/>
          <w:szCs w:val="28"/>
        </w:rPr>
        <w:t xml:space="preserve">В 2019 году  Фондом  совместно с Московской школой управления «СКОЛКОВО» проведено обучение по программе </w:t>
      </w:r>
      <w:proofErr w:type="gramStart"/>
      <w:r w:rsidRPr="0059373C">
        <w:rPr>
          <w:sz w:val="28"/>
          <w:szCs w:val="28"/>
        </w:rPr>
        <w:t>бизнес-акселерации</w:t>
      </w:r>
      <w:proofErr w:type="gramEnd"/>
      <w:r w:rsidRPr="0059373C">
        <w:rPr>
          <w:sz w:val="28"/>
          <w:szCs w:val="28"/>
        </w:rPr>
        <w:t xml:space="preserve"> для субъектов малого и среднего предпринимательства Ленинградской области. В рамках реализации программы проведен заочный и очный отбор участников программы 2019 года. На конкурсный отбор было представлено более 200 заявок, </w:t>
      </w:r>
      <w:r>
        <w:rPr>
          <w:sz w:val="28"/>
          <w:szCs w:val="28"/>
        </w:rPr>
        <w:t>4 июня </w:t>
      </w:r>
      <w:r w:rsidRPr="0059373C">
        <w:rPr>
          <w:sz w:val="28"/>
          <w:szCs w:val="28"/>
        </w:rPr>
        <w:t>2019 года в очном отборе приняли участие 80 субъектов МСП. В результате очного отбора участниками программы стали 66 субъектов МСП, обучение проведено по 5 направлениям: здоровый образ жизни и спорт, социальное предпринимательство и экология, городская среда, включая стрит-ритейл, высокотехнологичное производство и сельскохозяйственные кооперативы.</w:t>
      </w:r>
    </w:p>
    <w:p w:rsidR="00E46B64" w:rsidRPr="0059373C" w:rsidRDefault="00E46B64" w:rsidP="00E46B64">
      <w:pPr>
        <w:ind w:firstLine="708"/>
        <w:jc w:val="both"/>
        <w:rPr>
          <w:sz w:val="28"/>
          <w:szCs w:val="28"/>
        </w:rPr>
      </w:pPr>
      <w:r w:rsidRPr="0059373C">
        <w:rPr>
          <w:sz w:val="28"/>
          <w:szCs w:val="28"/>
        </w:rPr>
        <w:t xml:space="preserve">Всего по результатам успешного обучения и итоговой защиты – презентации проектов 54 участника получили удостоверение о повышении квалификации. По итогам прохождения программы </w:t>
      </w:r>
      <w:proofErr w:type="gramStart"/>
      <w:r w:rsidRPr="0059373C">
        <w:rPr>
          <w:sz w:val="28"/>
          <w:szCs w:val="28"/>
        </w:rPr>
        <w:t>бизнес-акселерации</w:t>
      </w:r>
      <w:proofErr w:type="gramEnd"/>
      <w:r w:rsidRPr="0059373C">
        <w:rPr>
          <w:sz w:val="28"/>
          <w:szCs w:val="28"/>
        </w:rPr>
        <w:t xml:space="preserve"> предусмотрено увеличение показателей финансово-хозяйственной деятельности участников программы:</w:t>
      </w:r>
    </w:p>
    <w:p w:rsidR="00E46B64" w:rsidRDefault="00E46B64" w:rsidP="00E46B64">
      <w:pPr>
        <w:ind w:firstLine="708"/>
        <w:jc w:val="both"/>
        <w:rPr>
          <w:sz w:val="28"/>
          <w:szCs w:val="28"/>
        </w:rPr>
      </w:pPr>
      <w:r w:rsidRPr="0042064D">
        <w:rPr>
          <w:sz w:val="28"/>
          <w:szCs w:val="28"/>
        </w:rPr>
        <w:t>В целом главн</w:t>
      </w:r>
      <w:r>
        <w:rPr>
          <w:sz w:val="28"/>
          <w:szCs w:val="28"/>
        </w:rPr>
        <w:t>ыми</w:t>
      </w:r>
      <w:r w:rsidRPr="0042064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42064D">
        <w:rPr>
          <w:sz w:val="28"/>
          <w:szCs w:val="28"/>
        </w:rPr>
        <w:t xml:space="preserve"> на 2020 год оста</w:t>
      </w:r>
      <w:r>
        <w:rPr>
          <w:sz w:val="28"/>
          <w:szCs w:val="28"/>
        </w:rPr>
        <w:t>ю</w:t>
      </w:r>
      <w:r w:rsidRPr="0042064D">
        <w:rPr>
          <w:sz w:val="28"/>
          <w:szCs w:val="28"/>
        </w:rPr>
        <w:t>тся популяризация и</w:t>
      </w:r>
      <w:r>
        <w:rPr>
          <w:sz w:val="28"/>
          <w:szCs w:val="28"/>
        </w:rPr>
        <w:t> </w:t>
      </w:r>
      <w:r w:rsidRPr="0042064D">
        <w:rPr>
          <w:sz w:val="28"/>
          <w:szCs w:val="28"/>
        </w:rPr>
        <w:t>вовлечение населения в предпринимательскую деятельность, продолжение расширения доступа предпринимателей к финансовым ресурсам и</w:t>
      </w:r>
      <w:r>
        <w:rPr>
          <w:sz w:val="28"/>
          <w:szCs w:val="28"/>
        </w:rPr>
        <w:t> </w:t>
      </w:r>
      <w:r w:rsidRPr="0042064D">
        <w:rPr>
          <w:sz w:val="28"/>
          <w:szCs w:val="28"/>
        </w:rPr>
        <w:t xml:space="preserve">имуществу, повышение качества регуляторной среды, </w:t>
      </w:r>
      <w:r>
        <w:rPr>
          <w:sz w:val="28"/>
          <w:szCs w:val="28"/>
        </w:rPr>
        <w:t>повышение привлекательности сектора малого, среднего предпринимательства и потребительского рынка для занятости населения Ленинградской области.</w:t>
      </w:r>
    </w:p>
    <w:p w:rsidR="00E46B64" w:rsidRPr="00014C7E" w:rsidRDefault="00014C7E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C7E">
        <w:rPr>
          <w:sz w:val="28"/>
          <w:szCs w:val="28"/>
        </w:rPr>
        <w:t xml:space="preserve"> </w:t>
      </w:r>
    </w:p>
    <w:p w:rsidR="00E46B64" w:rsidRPr="00C81E31" w:rsidRDefault="00E46B64" w:rsidP="00E46B64">
      <w:pPr>
        <w:spacing w:line="276" w:lineRule="auto"/>
        <w:jc w:val="center"/>
        <w:rPr>
          <w:b/>
          <w:sz w:val="28"/>
          <w:szCs w:val="28"/>
        </w:rPr>
      </w:pPr>
      <w:r w:rsidRPr="00C81E31">
        <w:rPr>
          <w:b/>
          <w:sz w:val="28"/>
          <w:szCs w:val="28"/>
        </w:rPr>
        <w:t>Развитие потребительского рынка</w:t>
      </w:r>
    </w:p>
    <w:p w:rsidR="00E46B64" w:rsidRPr="00C81E31" w:rsidRDefault="00E46B64" w:rsidP="00E46B64">
      <w:pPr>
        <w:spacing w:line="276" w:lineRule="auto"/>
        <w:jc w:val="center"/>
        <w:rPr>
          <w:sz w:val="16"/>
          <w:szCs w:val="16"/>
        </w:rPr>
      </w:pP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1E31">
        <w:rPr>
          <w:sz w:val="28"/>
          <w:szCs w:val="28"/>
        </w:rPr>
        <w:t>борот розничной торговли</w:t>
      </w:r>
      <w:r>
        <w:rPr>
          <w:sz w:val="28"/>
          <w:szCs w:val="28"/>
        </w:rPr>
        <w:t xml:space="preserve"> в 2019 году</w:t>
      </w:r>
      <w:r w:rsidRPr="00C81E31">
        <w:rPr>
          <w:sz w:val="28"/>
          <w:szCs w:val="28"/>
        </w:rPr>
        <w:t xml:space="preserve"> составил 436,6 млрд. рублей</w:t>
      </w:r>
      <w:r>
        <w:rPr>
          <w:sz w:val="28"/>
          <w:szCs w:val="28"/>
        </w:rPr>
        <w:t xml:space="preserve"> и увеличился по сравнению с 2018 годом </w:t>
      </w:r>
      <w:r w:rsidRPr="00C81E31">
        <w:rPr>
          <w:sz w:val="28"/>
          <w:szCs w:val="28"/>
        </w:rPr>
        <w:t>на 4,0%</w:t>
      </w:r>
      <w:r>
        <w:rPr>
          <w:sz w:val="28"/>
          <w:szCs w:val="28"/>
        </w:rPr>
        <w:t>.</w:t>
      </w:r>
      <w:r w:rsidRPr="00C81E31">
        <w:rPr>
          <w:sz w:val="28"/>
          <w:szCs w:val="28"/>
        </w:rPr>
        <w:t xml:space="preserve"> В структуре оборота розничной торговли удельный вес оборота розничной торговли пищевыми продуктами, </w:t>
      </w:r>
      <w:proofErr w:type="gramStart"/>
      <w:r w:rsidRPr="00C81E31">
        <w:rPr>
          <w:sz w:val="28"/>
          <w:szCs w:val="28"/>
        </w:rPr>
        <w:t>включая напитки и табачные изделия в 2019 года составил 47% (в</w:t>
      </w:r>
      <w:proofErr w:type="gramEnd"/>
      <w:r w:rsidRPr="00C81E31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году</w:t>
      </w:r>
      <w:r w:rsidRPr="00C81E31">
        <w:rPr>
          <w:sz w:val="28"/>
          <w:szCs w:val="28"/>
        </w:rPr>
        <w:t xml:space="preserve"> – 48%) непродовольственными товарами – 53% (52%).</w:t>
      </w:r>
    </w:p>
    <w:p w:rsidR="00E46B64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Объем продаж товаров на розничных рынках и ярмарках по итогу 2019 года составил 1091,9 млн. рублей и составил 96,5% к </w:t>
      </w:r>
      <w:r>
        <w:rPr>
          <w:sz w:val="28"/>
          <w:szCs w:val="28"/>
        </w:rPr>
        <w:t>прошлому году, о</w:t>
      </w:r>
      <w:r w:rsidRPr="00C81E31">
        <w:rPr>
          <w:sz w:val="28"/>
          <w:szCs w:val="28"/>
        </w:rPr>
        <w:t>борот общественного питания составил 18,8 млрд. рублей</w:t>
      </w:r>
      <w:r>
        <w:rPr>
          <w:sz w:val="28"/>
          <w:szCs w:val="28"/>
        </w:rPr>
        <w:t xml:space="preserve"> (107,1% </w:t>
      </w:r>
      <w:r w:rsidRPr="00C81E31">
        <w:rPr>
          <w:sz w:val="28"/>
          <w:szCs w:val="28"/>
        </w:rPr>
        <w:t xml:space="preserve">к </w:t>
      </w:r>
      <w:r>
        <w:rPr>
          <w:sz w:val="28"/>
          <w:szCs w:val="28"/>
        </w:rPr>
        <w:t>прошлому году).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Оборот оптовой торговли в 2019 </w:t>
      </w:r>
      <w:r>
        <w:rPr>
          <w:sz w:val="28"/>
          <w:szCs w:val="28"/>
        </w:rPr>
        <w:t>году</w:t>
      </w:r>
      <w:r w:rsidRPr="00C81E31">
        <w:rPr>
          <w:sz w:val="28"/>
          <w:szCs w:val="28"/>
        </w:rPr>
        <w:t xml:space="preserve"> составил 589,3 млрд. рублей, что в сопоставимых ценах на 2,1% меньше, чем в 2018 год</w:t>
      </w:r>
      <w:r>
        <w:rPr>
          <w:sz w:val="28"/>
          <w:szCs w:val="28"/>
        </w:rPr>
        <w:t>у</w:t>
      </w:r>
      <w:r w:rsidRPr="00C81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31">
        <w:rPr>
          <w:sz w:val="28"/>
          <w:szCs w:val="28"/>
        </w:rPr>
        <w:t>Объем платных услуг, оказанных насе</w:t>
      </w:r>
      <w:r>
        <w:rPr>
          <w:sz w:val="28"/>
          <w:szCs w:val="28"/>
        </w:rPr>
        <w:t>лению, в Ленинградской области</w:t>
      </w:r>
      <w:r w:rsidRPr="00C81E31">
        <w:rPr>
          <w:sz w:val="28"/>
          <w:szCs w:val="28"/>
        </w:rPr>
        <w:t xml:space="preserve"> составил 83,6 млрд. рублей и в сопоставимых ценах увеличился по сравнению с 2018 год</w:t>
      </w:r>
      <w:r>
        <w:rPr>
          <w:sz w:val="28"/>
          <w:szCs w:val="28"/>
        </w:rPr>
        <w:t>ом</w:t>
      </w:r>
      <w:r w:rsidRPr="00C81E31">
        <w:rPr>
          <w:sz w:val="28"/>
          <w:szCs w:val="28"/>
        </w:rPr>
        <w:t xml:space="preserve"> на 1,1%. Основное место в структуре потребляемых населением платных услуг по-прежнему занимают коммунальные услуги – 52,0%, транспортные – 12%, бытовые – 8,0%, медицинские услуги – 7 %, системы образования – 6%, телекоммуникационные –  3%.</w:t>
      </w:r>
    </w:p>
    <w:p w:rsidR="00E46B64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>В настоящее время развитие потребительского рынка в Ленинградской области происходит, преимущественно, за счет расширения сетевой торговой инфраструктуры (магазины, торговые комплексы) в административных центрах муниципальных образований. На территории региона осуществляют деятельность наибольшее количество торговых объектов принадлежащих следующим торговым сетям: «Пятерочка» - 363, «Магнит» - 311, «</w:t>
      </w:r>
      <w:proofErr w:type="spellStart"/>
      <w:r w:rsidRPr="00C81E31">
        <w:rPr>
          <w:sz w:val="28"/>
          <w:szCs w:val="28"/>
        </w:rPr>
        <w:t>Дикси</w:t>
      </w:r>
      <w:proofErr w:type="spellEnd"/>
      <w:r w:rsidRPr="00C81E31">
        <w:rPr>
          <w:sz w:val="28"/>
          <w:szCs w:val="28"/>
        </w:rPr>
        <w:t>» - 109.</w:t>
      </w:r>
    </w:p>
    <w:p w:rsidR="00E46B64" w:rsidRPr="00C81E31" w:rsidRDefault="00E46B64" w:rsidP="00E46B64">
      <w:pPr>
        <w:ind w:firstLine="709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Помимо стационарных торговых объектов, в Ленинградской области осуществляют деятельность 2 594 нестационарных торговых объектов. Кроме того, оказывают торговые услуги населению 491 мобильных торговых объектов. В 2019 году органами местного самоуправления схемы нестационарных торговых объектов были приведены в соответствие с методическими рекомендациями, разработанными комитетом малого, среднего бизнеса и потребительского рынка Ленинградской области и размещены в информационно-телекоммуникационной сети «Интернет». </w:t>
      </w:r>
    </w:p>
    <w:p w:rsidR="00E46B64" w:rsidRPr="00C81E31" w:rsidRDefault="00E46B64" w:rsidP="00E46B64">
      <w:pPr>
        <w:ind w:firstLine="709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В 2019 году продолжилась реализация признанной на всероссийском уровне одной из лучших в  номинации «Создание комфортных условий проживания» практики «Автолавки в село», направленной на обеспечение населения товарами первой необходимости, а также поддержку и развитие малоформатной торговли. Хозяйствующие субъекты, получившие субсидию на приобретение автомагазина, обслуживают сельские территории по графику, утвержденному органами местного самоуправления. За счет субсидий по возмещению затрат, связанных с доставкой товаров в сельскую местность, начиная с </w:t>
      </w:r>
      <w:smartTag w:uri="urn:schemas-microsoft-com:office:smarttags" w:element="metricconverter">
        <w:smartTagPr>
          <w:attr w:name="ProductID" w:val="11 км"/>
        </w:smartTagPr>
        <w:r w:rsidRPr="00C81E31">
          <w:rPr>
            <w:sz w:val="28"/>
            <w:szCs w:val="28"/>
          </w:rPr>
          <w:t>11 км</w:t>
        </w:r>
      </w:smartTag>
      <w:r w:rsidRPr="00C81E31">
        <w:rPr>
          <w:sz w:val="28"/>
          <w:szCs w:val="28"/>
        </w:rPr>
        <w:t xml:space="preserve"> от пункта их получения, </w:t>
      </w:r>
      <w:proofErr w:type="spellStart"/>
      <w:r w:rsidRPr="00C81E31">
        <w:rPr>
          <w:sz w:val="28"/>
          <w:szCs w:val="28"/>
        </w:rPr>
        <w:t>Лодейнопольской</w:t>
      </w:r>
      <w:proofErr w:type="spellEnd"/>
      <w:r w:rsidRPr="00C81E31">
        <w:rPr>
          <w:sz w:val="28"/>
          <w:szCs w:val="28"/>
        </w:rPr>
        <w:t xml:space="preserve">, </w:t>
      </w:r>
      <w:proofErr w:type="spellStart"/>
      <w:r w:rsidRPr="00C81E31">
        <w:rPr>
          <w:sz w:val="28"/>
          <w:szCs w:val="28"/>
        </w:rPr>
        <w:t>Кингисеппской</w:t>
      </w:r>
      <w:proofErr w:type="spellEnd"/>
      <w:r w:rsidRPr="00C81E31">
        <w:rPr>
          <w:sz w:val="28"/>
          <w:szCs w:val="28"/>
        </w:rPr>
        <w:t xml:space="preserve">, </w:t>
      </w:r>
      <w:proofErr w:type="spellStart"/>
      <w:r w:rsidRPr="00C81E31">
        <w:rPr>
          <w:sz w:val="28"/>
          <w:szCs w:val="28"/>
        </w:rPr>
        <w:t>Бокситогорской</w:t>
      </w:r>
      <w:proofErr w:type="spellEnd"/>
      <w:r w:rsidRPr="00C81E31">
        <w:rPr>
          <w:sz w:val="28"/>
          <w:szCs w:val="28"/>
        </w:rPr>
        <w:t xml:space="preserve"> и </w:t>
      </w:r>
      <w:proofErr w:type="spellStart"/>
      <w:r w:rsidRPr="00C81E31">
        <w:rPr>
          <w:sz w:val="28"/>
          <w:szCs w:val="28"/>
        </w:rPr>
        <w:t>Подпорожской</w:t>
      </w:r>
      <w:proofErr w:type="spellEnd"/>
      <w:r w:rsidRPr="00C81E31">
        <w:rPr>
          <w:sz w:val="28"/>
          <w:szCs w:val="28"/>
        </w:rPr>
        <w:t xml:space="preserve"> организациям потребительской кооперации,  была оказана поддержка для обслуживания отдаленных населенных пунктов. 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Также увеличилось число ярмарок, проведенных в 2019 году. Их количество составило 1072, в 2018 году показатель составлял 1009, число торговых мест на ярмарках </w:t>
      </w:r>
      <w:proofErr w:type="gramStart"/>
      <w:r w:rsidRPr="00C81E31">
        <w:rPr>
          <w:sz w:val="28"/>
          <w:szCs w:val="28"/>
        </w:rPr>
        <w:t>уменьшилось на 11,7% и составило</w:t>
      </w:r>
      <w:proofErr w:type="gramEnd"/>
      <w:r w:rsidRPr="00C81E31">
        <w:rPr>
          <w:sz w:val="28"/>
          <w:szCs w:val="28"/>
        </w:rPr>
        <w:t xml:space="preserve"> 25 716. Основной задачей при организации ярмарок является участие в мероприятиях местных товаропроизводителей малых форм хозяйствования, в целях выживания в непростых экономических условиях.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>Для поддержки местных производителей, помимо бесплатных мест на ярмарках, из бюджета Ленинградской области предоставляются субсидии для возмещения затрат, связанных с приобретением оборудования для мобильной торговли. В частности, на возмещение затрат, связанных с приобретением автомагазинов и прицепов в 2019 году было предоставлено 3</w:t>
      </w:r>
      <w:r>
        <w:rPr>
          <w:sz w:val="28"/>
          <w:szCs w:val="28"/>
        </w:rPr>
        <w:t>, 614 млн.</w:t>
      </w:r>
      <w:r w:rsidRPr="00C81E31">
        <w:rPr>
          <w:sz w:val="28"/>
          <w:szCs w:val="28"/>
        </w:rPr>
        <w:t> рублей.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Правительством региона была предоставлена прямая финансовая помощь организациям инфраструктуры поддержки на проведение ярмарок, фестивалей и районных праздников. В рамках полученных средств были организованы единые экспозиции мастеров и ремесленников Ленинградкой области в 4 выставках-ярмарках  на территории других регионов. Современным торговым оборудованием были оснащены такие региональные ярмарки, как «Старинный рыцарский город» в Выборгском районе, </w:t>
      </w:r>
      <w:proofErr w:type="spellStart"/>
      <w:r w:rsidRPr="00C81E31">
        <w:rPr>
          <w:sz w:val="28"/>
          <w:szCs w:val="28"/>
        </w:rPr>
        <w:t>Соминская</w:t>
      </w:r>
      <w:proofErr w:type="spellEnd"/>
      <w:r w:rsidRPr="00C81E31">
        <w:rPr>
          <w:sz w:val="28"/>
          <w:szCs w:val="28"/>
        </w:rPr>
        <w:t xml:space="preserve"> Петровская ярмарка </w:t>
      </w:r>
      <w:proofErr w:type="gramStart"/>
      <w:r w:rsidRPr="00C81E31">
        <w:rPr>
          <w:sz w:val="28"/>
          <w:szCs w:val="28"/>
        </w:rPr>
        <w:t>в</w:t>
      </w:r>
      <w:proofErr w:type="gramEnd"/>
      <w:r w:rsidRPr="00C81E31">
        <w:rPr>
          <w:sz w:val="28"/>
          <w:szCs w:val="28"/>
        </w:rPr>
        <w:t xml:space="preserve"> </w:t>
      </w:r>
      <w:proofErr w:type="gramStart"/>
      <w:r w:rsidRPr="00C81E31">
        <w:rPr>
          <w:sz w:val="28"/>
          <w:szCs w:val="28"/>
        </w:rPr>
        <w:t>Бокситогорском</w:t>
      </w:r>
      <w:proofErr w:type="gramEnd"/>
      <w:r w:rsidRPr="00C81E31">
        <w:rPr>
          <w:sz w:val="28"/>
          <w:szCs w:val="28"/>
        </w:rPr>
        <w:t xml:space="preserve"> районе, ярмарка в Гатчине, ярмарка ко Дню Ленинградской области в Бокситогорске и другие.</w:t>
      </w:r>
    </w:p>
    <w:p w:rsidR="00E46B64" w:rsidRPr="00C81E31" w:rsidRDefault="00E46B64" w:rsidP="00E46B64">
      <w:pPr>
        <w:ind w:firstLine="709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В 2019 году закончил свою реализацию региональный проекта «Создание перспективной бизнес - среды на рынке уникальных сувениров Ленинградской области», который начался в декабре 2017 года. </w:t>
      </w:r>
      <w:proofErr w:type="gramStart"/>
      <w:r w:rsidRPr="00C81E31">
        <w:rPr>
          <w:sz w:val="28"/>
          <w:szCs w:val="28"/>
        </w:rPr>
        <w:t>Главной целью проекта было увеличить на 40% выручку субъектов малого и среднего предпринимательства Ленинградской области от реализации производимых изделий народных художественных промыслов и ремесел (далее – субъекты НХП и ремесел) и по итогам реализации проекта выручка субъектов НХП и ремесел увеличилась на 165%. Кроме того, поддержка субъектов НХП и  ремесел была внесена в государственные и муниципальные программы, создана рабочая группа по</w:t>
      </w:r>
      <w:proofErr w:type="gramEnd"/>
      <w:r w:rsidRPr="00C81E31">
        <w:rPr>
          <w:sz w:val="28"/>
          <w:szCs w:val="28"/>
        </w:rPr>
        <w:t xml:space="preserve"> развитию НХП и ремесел Ленинградской области, организована деятельность центром НХП и ремесел, субъекты НХП освобождены от уплаты налога на транспорт, увеличено финансирование мероприятий на организацию единой экспозиции мастеров НХП и ремесел в 4 раза с 500 000 рублей до 2 000 000 рублей. В целях популяризации НХП и ремесел Ленинградской области были созданы электронные и печатные каталоги, разработан единый бренд сувениров «В традиции ремесел Ленинградской области», включено 10 мест традиционного бытования НХП в туристические маршруты региона, расширен перечень мест традиционного бытования НХП на территории региона. В целях оказания финансовой поддержки увеличен размер субсидий субъектам НХП и ремесел на возмещение части затрат на производство с 3 </w:t>
      </w:r>
      <w:r>
        <w:rPr>
          <w:sz w:val="28"/>
          <w:szCs w:val="28"/>
        </w:rPr>
        <w:t xml:space="preserve"> млн.</w:t>
      </w:r>
      <w:r w:rsidRPr="00C81E31">
        <w:rPr>
          <w:sz w:val="28"/>
          <w:szCs w:val="28"/>
        </w:rPr>
        <w:t xml:space="preserve"> рублей  до 8 </w:t>
      </w:r>
      <w:r>
        <w:rPr>
          <w:sz w:val="28"/>
          <w:szCs w:val="28"/>
        </w:rPr>
        <w:t>млн.</w:t>
      </w:r>
      <w:r w:rsidRPr="00C81E31">
        <w:rPr>
          <w:sz w:val="28"/>
          <w:szCs w:val="28"/>
        </w:rPr>
        <w:t xml:space="preserve"> рублей. </w:t>
      </w:r>
    </w:p>
    <w:p w:rsidR="00E46B64" w:rsidRPr="00C81E31" w:rsidRDefault="00E46B64" w:rsidP="00E46B64">
      <w:pPr>
        <w:ind w:firstLine="709"/>
        <w:jc w:val="both"/>
        <w:rPr>
          <w:sz w:val="28"/>
          <w:szCs w:val="28"/>
        </w:rPr>
      </w:pPr>
      <w:r w:rsidRPr="00C81E31">
        <w:rPr>
          <w:bCs/>
          <w:sz w:val="28"/>
          <w:szCs w:val="28"/>
        </w:rPr>
        <w:t xml:space="preserve">Количество субъектов НХП и ремесел за два года увеличилось </w:t>
      </w:r>
      <w:r>
        <w:rPr>
          <w:bCs/>
          <w:sz w:val="28"/>
          <w:szCs w:val="28"/>
        </w:rPr>
        <w:t>в 2 раза</w:t>
      </w:r>
      <w:r w:rsidRPr="00C81E31">
        <w:rPr>
          <w:bCs/>
          <w:sz w:val="28"/>
          <w:szCs w:val="28"/>
        </w:rPr>
        <w:t xml:space="preserve">, количество </w:t>
      </w:r>
      <w:r>
        <w:rPr>
          <w:bCs/>
          <w:sz w:val="28"/>
          <w:szCs w:val="28"/>
        </w:rPr>
        <w:t>субъектов НХП выросло с 3 до 8.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>В рамках реализации мероприятия «Лучший по профессии в сфере потребительского рынка», были предоставлены гранты в форме субсидий по 9 номинациям субъектам предпринимательства, с целью поощрения представителей профессий потребительского рынка, достигших высокого профессионального уровня обслуживания населения, на общую сум</w:t>
      </w:r>
      <w:r>
        <w:rPr>
          <w:sz w:val="28"/>
          <w:szCs w:val="28"/>
        </w:rPr>
        <w:t>му 1 08</w:t>
      </w:r>
      <w:r w:rsidRPr="00C81E31">
        <w:rPr>
          <w:sz w:val="28"/>
          <w:szCs w:val="28"/>
        </w:rPr>
        <w:t xml:space="preserve">0 </w:t>
      </w:r>
      <w:r>
        <w:rPr>
          <w:sz w:val="28"/>
          <w:szCs w:val="28"/>
        </w:rPr>
        <w:t>млн.</w:t>
      </w:r>
      <w:r w:rsidRPr="00C81E31">
        <w:rPr>
          <w:sz w:val="28"/>
          <w:szCs w:val="28"/>
        </w:rPr>
        <w:t xml:space="preserve"> рублей.</w:t>
      </w:r>
    </w:p>
    <w:p w:rsidR="00E46B64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Впервые проведен Первый Ленинградский областной Форум Потребительского рынка, который прошел 25 июля 2019 года в городе Гатчина. В Форуме приняли участие более 300 человек, были проведены тематические  семинары, круглые столы, панельные дискуссии. 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>Также 27 ноября 2019 прошел Первый Слет ремесленников Ленинградской области. В Слете приняли участие более 400 человек.</w:t>
      </w:r>
    </w:p>
    <w:p w:rsidR="00E46B64" w:rsidRPr="00C81E31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Правительство Ленинградской области ежегодно выделяет финансовые средства на поддержку организаций потребительской кооперации, включенных в состав Ленинградского областного союза потребительских обществ. В 2019 году субсидии предоставлены 18 организациям потребительской кооперации. </w:t>
      </w:r>
      <w:proofErr w:type="gramStart"/>
      <w:r w:rsidRPr="00C81E31">
        <w:rPr>
          <w:sz w:val="28"/>
          <w:szCs w:val="28"/>
        </w:rPr>
        <w:t>За счет полученных субсидий организации потребительской кооперации оснащают свои предприятия автоматизированными центрами торгового обслуживания, контрольно-кассовой техникой, современным торговым, технологическим и холодильным оборудованием, устанавливают системы кондиционирования, наращивают автотранспортный парк, приобретают производственные линии для хлебопечения и предприятий общественного питания, а также возмещают затраты, связанные с приобретением оборудования для обеспечения заготовительной деятельности, в том числе за счет приобретенного оборудования удалось наладить полный цикл</w:t>
      </w:r>
      <w:proofErr w:type="gramEnd"/>
      <w:r w:rsidRPr="00C81E31">
        <w:rPr>
          <w:sz w:val="28"/>
          <w:szCs w:val="28"/>
        </w:rPr>
        <w:t xml:space="preserve"> по сбору, переработке, упаковке и реализации заготовленной продукции в селе Паша </w:t>
      </w:r>
      <w:proofErr w:type="spellStart"/>
      <w:proofErr w:type="gramStart"/>
      <w:r w:rsidRPr="00C81E31">
        <w:rPr>
          <w:sz w:val="28"/>
          <w:szCs w:val="28"/>
        </w:rPr>
        <w:t>Волховского</w:t>
      </w:r>
      <w:proofErr w:type="spellEnd"/>
      <w:proofErr w:type="gramEnd"/>
      <w:r w:rsidRPr="00C81E31">
        <w:rPr>
          <w:sz w:val="28"/>
          <w:szCs w:val="28"/>
        </w:rPr>
        <w:t xml:space="preserve"> района Ленинградской области.</w:t>
      </w:r>
    </w:p>
    <w:p w:rsidR="00E46B64" w:rsidRPr="007C3118" w:rsidRDefault="00E46B64" w:rsidP="00E46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31">
        <w:rPr>
          <w:sz w:val="28"/>
          <w:szCs w:val="28"/>
        </w:rPr>
        <w:t>Основной задачей на 2020 год и последующие годы остается  формирование в поселениях Ленинградской области комфортной потребительской среды   посредством обеспечения развития всех форматов торговли, обеспечивающей максимальный выбор ассортимента товаров и торговых операторов на любой вкус потребителя.</w:t>
      </w:r>
    </w:p>
    <w:p w:rsidR="00A94809" w:rsidRDefault="00A94809"/>
    <w:sectPr w:rsidR="00A94809" w:rsidSect="00E46B64">
      <w:headerReference w:type="default" r:id="rId8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95" w:rsidRDefault="003C2095" w:rsidP="00E46B64">
      <w:r>
        <w:separator/>
      </w:r>
    </w:p>
  </w:endnote>
  <w:endnote w:type="continuationSeparator" w:id="0">
    <w:p w:rsidR="003C2095" w:rsidRDefault="003C2095" w:rsidP="00E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95" w:rsidRDefault="003C2095" w:rsidP="00E46B64">
      <w:r>
        <w:separator/>
      </w:r>
    </w:p>
  </w:footnote>
  <w:footnote w:type="continuationSeparator" w:id="0">
    <w:p w:rsidR="003C2095" w:rsidRDefault="003C2095" w:rsidP="00E4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2842"/>
      <w:docPartObj>
        <w:docPartGallery w:val="Page Numbers (Top of Page)"/>
        <w:docPartUnique/>
      </w:docPartObj>
    </w:sdtPr>
    <w:sdtEndPr/>
    <w:sdtContent>
      <w:p w:rsidR="00E46B64" w:rsidRDefault="00E46B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98">
          <w:rPr>
            <w:noProof/>
          </w:rPr>
          <w:t>10</w:t>
        </w:r>
        <w:r>
          <w:fldChar w:fldCharType="end"/>
        </w:r>
      </w:p>
    </w:sdtContent>
  </w:sdt>
  <w:p w:rsidR="00E46B64" w:rsidRDefault="00E46B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64"/>
    <w:rsid w:val="00014C7E"/>
    <w:rsid w:val="000B6246"/>
    <w:rsid w:val="000C4BF4"/>
    <w:rsid w:val="001C0AAD"/>
    <w:rsid w:val="00312192"/>
    <w:rsid w:val="0037060B"/>
    <w:rsid w:val="003C2095"/>
    <w:rsid w:val="003E3D3A"/>
    <w:rsid w:val="00567253"/>
    <w:rsid w:val="007526EF"/>
    <w:rsid w:val="007C3F90"/>
    <w:rsid w:val="00854398"/>
    <w:rsid w:val="00A94809"/>
    <w:rsid w:val="00AA4037"/>
    <w:rsid w:val="00AD0E8F"/>
    <w:rsid w:val="00CA0C91"/>
    <w:rsid w:val="00D813F2"/>
    <w:rsid w:val="00E46870"/>
    <w:rsid w:val="00E46B64"/>
    <w:rsid w:val="00EE7AAA"/>
    <w:rsid w:val="00F2791F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B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E46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E46B64"/>
    <w:rPr>
      <w:rFonts w:ascii="Calibri" w:eastAsia="Calibri" w:hAnsi="Calibri" w:cs="Times New Roman"/>
      <w:sz w:val="22"/>
    </w:rPr>
  </w:style>
  <w:style w:type="paragraph" w:styleId="a5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"/>
    <w:basedOn w:val="a"/>
    <w:link w:val="a6"/>
    <w:uiPriority w:val="99"/>
    <w:rsid w:val="00E46B64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,Знак Знак"/>
    <w:link w:val="a5"/>
    <w:uiPriority w:val="99"/>
    <w:locked/>
    <w:rsid w:val="00E46B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B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46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B64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6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B6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B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E46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E46B64"/>
    <w:rPr>
      <w:rFonts w:ascii="Calibri" w:eastAsia="Calibri" w:hAnsi="Calibri" w:cs="Times New Roman"/>
      <w:sz w:val="22"/>
    </w:rPr>
  </w:style>
  <w:style w:type="paragraph" w:styleId="a5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"/>
    <w:basedOn w:val="a"/>
    <w:link w:val="a6"/>
    <w:uiPriority w:val="99"/>
    <w:rsid w:val="00E46B64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,Знак Знак"/>
    <w:link w:val="a5"/>
    <w:uiPriority w:val="99"/>
    <w:locked/>
    <w:rsid w:val="00E46B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B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46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B64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6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B6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Лаврик</dc:creator>
  <cp:lastModifiedBy>Ольга Александровна Лаврик</cp:lastModifiedBy>
  <cp:revision>2</cp:revision>
  <cp:lastPrinted>2020-03-03T07:49:00Z</cp:lastPrinted>
  <dcterms:created xsi:type="dcterms:W3CDTF">2020-03-24T11:45:00Z</dcterms:created>
  <dcterms:modified xsi:type="dcterms:W3CDTF">2020-03-24T11:45:00Z</dcterms:modified>
</cp:coreProperties>
</file>