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DB235" w14:textId="0781AB0B" w:rsidR="005B3040" w:rsidRDefault="005B3040" w:rsidP="005B3040">
      <w:pPr>
        <w:spacing w:after="360" w:line="240" w:lineRule="auto"/>
        <w:jc w:val="center"/>
        <w:rPr>
          <w:rFonts w:ascii="Arial" w:eastAsia="Times New Roman" w:hAnsi="Arial" w:cs="Arial"/>
          <w:color w:val="222222"/>
          <w:sz w:val="33"/>
          <w:szCs w:val="33"/>
          <w:lang w:eastAsia="ru-RU"/>
        </w:rPr>
      </w:pPr>
      <w:r>
        <w:rPr>
          <w:rFonts w:ascii="Arial" w:eastAsia="Times New Roman" w:hAnsi="Arial" w:cs="Arial"/>
          <w:color w:val="222222"/>
          <w:sz w:val="33"/>
          <w:szCs w:val="33"/>
          <w:lang w:eastAsia="ru-RU"/>
        </w:rPr>
        <w:t>П</w:t>
      </w:r>
      <w:r w:rsidRPr="005B3040">
        <w:rPr>
          <w:rFonts w:ascii="Arial" w:eastAsia="Times New Roman" w:hAnsi="Arial" w:cs="Arial"/>
          <w:color w:val="222222"/>
          <w:sz w:val="33"/>
          <w:szCs w:val="33"/>
          <w:lang w:eastAsia="ru-RU"/>
        </w:rPr>
        <w:t xml:space="preserve">орядок расчета </w:t>
      </w:r>
      <w:r>
        <w:rPr>
          <w:rFonts w:ascii="Arial" w:eastAsia="Times New Roman" w:hAnsi="Arial" w:cs="Arial"/>
          <w:color w:val="222222"/>
          <w:sz w:val="33"/>
          <w:szCs w:val="33"/>
          <w:lang w:eastAsia="ru-RU"/>
        </w:rPr>
        <w:t xml:space="preserve">                                                                 </w:t>
      </w:r>
      <w:r w:rsidRPr="005B3040">
        <w:rPr>
          <w:rFonts w:ascii="Arial" w:eastAsia="Times New Roman" w:hAnsi="Arial" w:cs="Arial"/>
          <w:color w:val="222222"/>
          <w:sz w:val="33"/>
          <w:szCs w:val="33"/>
          <w:lang w:eastAsia="ru-RU"/>
        </w:rPr>
        <w:t>среднесписочной численности работников</w:t>
      </w:r>
      <w:r>
        <w:rPr>
          <w:rFonts w:ascii="Arial" w:eastAsia="Times New Roman" w:hAnsi="Arial" w:cs="Arial"/>
          <w:color w:val="222222"/>
          <w:sz w:val="33"/>
          <w:szCs w:val="33"/>
          <w:lang w:eastAsia="ru-RU"/>
        </w:rPr>
        <w:t xml:space="preserve"> на предприятии</w:t>
      </w:r>
    </w:p>
    <w:p w14:paraId="72C5CE75" w14:textId="1B646616" w:rsidR="005B3040" w:rsidRPr="005B3040" w:rsidRDefault="005B3040" w:rsidP="005B3040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B3040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Ран</w:t>
      </w:r>
      <w:r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ее</w:t>
      </w:r>
      <w:r w:rsidRPr="005B3040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все организации и ИП с работниками были обязаны сообщать в ФНС о том, сколько человек у них работает. Для этого была утверждена специальная форма </w:t>
      </w:r>
      <w:hyperlink r:id="rId5" w:tgtFrame="_blank" w:history="1">
        <w:r w:rsidRPr="005B3040">
          <w:rPr>
            <w:rFonts w:ascii="Arial" w:eastAsia="Times New Roman" w:hAnsi="Arial" w:cs="Arial"/>
            <w:color w:val="0000FF"/>
            <w:sz w:val="27"/>
            <w:szCs w:val="27"/>
            <w:lang w:eastAsia="ru-RU"/>
          </w:rPr>
          <w:t>КНД 1110018 «Сведения о среднесписочной численности работников»</w:t>
        </w:r>
      </w:hyperlink>
      <w:r w:rsidRPr="005B3040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</w:t>
      </w:r>
    </w:p>
    <w:p w14:paraId="298E44DC" w14:textId="75B446C6" w:rsidR="005B3040" w:rsidRPr="005B3040" w:rsidRDefault="005B3040" w:rsidP="005B3040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B3040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Начиная с отчет</w:t>
      </w:r>
      <w:r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ности</w:t>
      </w:r>
      <w:r w:rsidRPr="005B3040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за 2020 год, отправлять сведения о среднесписочной численности отдельной формой больше не нужно. </w:t>
      </w:r>
      <w:r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Э</w:t>
      </w:r>
      <w:r w:rsidRPr="005B3040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ти данные вошли в состав расчета по страховым взносам и стали подаваться ежеквартально. Такой же порядок сохран</w:t>
      </w:r>
      <w:r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яе</w:t>
      </w:r>
      <w:r w:rsidRPr="005B3040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тся и в 2023 году.</w:t>
      </w:r>
    </w:p>
    <w:p w14:paraId="51F46431" w14:textId="32A5B75C" w:rsidR="005B3040" w:rsidRPr="005B3040" w:rsidRDefault="005B3040" w:rsidP="005B3040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B3040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В 2022 году среднесписочная численность также указывалась в 4-ФСС, а с 1 квартала 2023 года </w:t>
      </w:r>
      <w:r>
        <w:rPr>
          <w:rFonts w:ascii="Arial" w:eastAsia="Times New Roman" w:hAnsi="Arial" w:cs="Arial"/>
          <w:color w:val="222222"/>
          <w:sz w:val="27"/>
          <w:szCs w:val="27"/>
          <w:lang w:eastAsia="ru-RU"/>
        </w:rPr>
        <w:t>-</w:t>
      </w:r>
      <w:r w:rsidRPr="005B3040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в раздел</w:t>
      </w:r>
      <w:r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е</w:t>
      </w:r>
      <w:r w:rsidRPr="005B3040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2 формы ЕФС-1, котор</w:t>
      </w:r>
      <w:r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ая</w:t>
      </w:r>
      <w:r w:rsidRPr="005B3040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замени</w:t>
      </w:r>
      <w:r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ла</w:t>
      </w:r>
      <w:r w:rsidRPr="005B3040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прежний отчет по взносам на травматизм.</w:t>
      </w:r>
    </w:p>
    <w:p w14:paraId="27B49574" w14:textId="54A2C46D" w:rsidR="005B3040" w:rsidRPr="005B3040" w:rsidRDefault="005B3040" w:rsidP="005B3040">
      <w:pPr>
        <w:spacing w:before="840" w:after="480" w:line="240" w:lineRule="auto"/>
        <w:jc w:val="center"/>
        <w:outlineLvl w:val="1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r w:rsidRPr="005B3040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 xml:space="preserve">Сроки представления отчетности </w:t>
      </w:r>
      <w:r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 xml:space="preserve">                                               </w:t>
      </w:r>
      <w:r w:rsidRPr="005B3040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по среднесписочной численности</w:t>
      </w:r>
    </w:p>
    <w:p w14:paraId="55D63AF6" w14:textId="121FE8A3" w:rsidR="005B3040" w:rsidRPr="005B3040" w:rsidRDefault="005B3040" w:rsidP="005B3040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</w:t>
      </w:r>
      <w:r w:rsidRPr="005B3040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ведения о среднесписочной численности в 2023 году представляется в следующие сроки:</w:t>
      </w:r>
    </w:p>
    <w:p w14:paraId="16A0D592" w14:textId="6D2C6637" w:rsidR="005B3040" w:rsidRPr="005B3040" w:rsidRDefault="005B3040" w:rsidP="005B3040">
      <w:pPr>
        <w:numPr>
          <w:ilvl w:val="0"/>
          <w:numId w:val="2"/>
        </w:numPr>
        <w:spacing w:before="100" w:beforeAutospacing="1" w:after="133" w:line="240" w:lineRule="auto"/>
        <w:ind w:firstLine="0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B3040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за 2022 год — 25 января 2023</w:t>
      </w:r>
    </w:p>
    <w:p w14:paraId="332E1297" w14:textId="77777777" w:rsidR="005B3040" w:rsidRPr="005B3040" w:rsidRDefault="005B3040" w:rsidP="005B3040">
      <w:pPr>
        <w:numPr>
          <w:ilvl w:val="0"/>
          <w:numId w:val="2"/>
        </w:numPr>
        <w:spacing w:before="100" w:beforeAutospacing="1" w:after="133" w:line="240" w:lineRule="auto"/>
        <w:ind w:firstLine="0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B3040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за 1-ый квартал 2023 года — 25 апреля 2023;</w:t>
      </w:r>
    </w:p>
    <w:p w14:paraId="098BE873" w14:textId="77777777" w:rsidR="005B3040" w:rsidRPr="005B3040" w:rsidRDefault="005B3040" w:rsidP="005B3040">
      <w:pPr>
        <w:numPr>
          <w:ilvl w:val="0"/>
          <w:numId w:val="2"/>
        </w:numPr>
        <w:spacing w:before="100" w:beforeAutospacing="1" w:after="133" w:line="240" w:lineRule="auto"/>
        <w:ind w:firstLine="0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B3040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за первое полугодие 2023 года — 25 июля 2023;</w:t>
      </w:r>
    </w:p>
    <w:p w14:paraId="57614317" w14:textId="77777777" w:rsidR="005B3040" w:rsidRPr="005B3040" w:rsidRDefault="005B3040" w:rsidP="005B3040">
      <w:pPr>
        <w:numPr>
          <w:ilvl w:val="0"/>
          <w:numId w:val="2"/>
        </w:numPr>
        <w:spacing w:before="100" w:beforeAutospacing="1" w:after="133" w:line="240" w:lineRule="auto"/>
        <w:ind w:firstLine="0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B3040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за 9 месяцев 2023 года — 25 октября 2023;</w:t>
      </w:r>
    </w:p>
    <w:p w14:paraId="4957B5DA" w14:textId="77777777" w:rsidR="005B3040" w:rsidRPr="005B3040" w:rsidRDefault="005B3040" w:rsidP="005B3040">
      <w:pPr>
        <w:numPr>
          <w:ilvl w:val="0"/>
          <w:numId w:val="2"/>
        </w:numPr>
        <w:spacing w:before="100" w:beforeAutospacing="1" w:after="133" w:line="240" w:lineRule="auto"/>
        <w:ind w:firstLine="0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B3040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за 2023 год — 25 января 2024 года.</w:t>
      </w:r>
    </w:p>
    <w:p w14:paraId="44E846A2" w14:textId="0F4A245B" w:rsidR="005B3040" w:rsidRPr="005B3040" w:rsidRDefault="005B3040" w:rsidP="005B3040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B3040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Если опоздать или не сдать расчет, ФНС наложит штраф в размере 5 % от неуплаченной в срок суммы за каждый месяц просрочки. Общая величина штрафа не может быть меньше 1 000 рублей и больше 30 % от суммы неуплаченных вовремя взносов. Кроме того, за задержку </w:t>
      </w:r>
      <w:r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предоставления сведений</w:t>
      </w:r>
      <w:r w:rsidRPr="005B3040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на 20 рабочих дней налоговая может заблокировать расчетный счет.</w:t>
      </w:r>
    </w:p>
    <w:p w14:paraId="1DEA97E9" w14:textId="7FB76E68" w:rsidR="005B3040" w:rsidRPr="005B3040" w:rsidRDefault="005B3040" w:rsidP="005B3040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B3040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Показатель «среднесписочная численность» в РСВ</w:t>
      </w:r>
      <w:r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(расчет по страховым взносам)</w:t>
      </w:r>
      <w:r w:rsidRPr="005B3040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должны отражать и вновь созданные организации, и предприниматели с работниками.</w:t>
      </w:r>
    </w:p>
    <w:p w14:paraId="4BD27E11" w14:textId="32A2A77C" w:rsidR="005B3040" w:rsidRDefault="005B3040" w:rsidP="005B3040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B3040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Отчет 4-ФСС по итогам 2022 года нужно подать до 20 или 25 января — срок зависит от способа представления. С 2023 года расчет 4-ФСС </w:t>
      </w:r>
      <w:r w:rsidRPr="005B3040">
        <w:rPr>
          <w:rFonts w:ascii="Arial" w:eastAsia="Times New Roman" w:hAnsi="Arial" w:cs="Arial"/>
          <w:color w:val="222222"/>
          <w:sz w:val="27"/>
          <w:szCs w:val="27"/>
          <w:lang w:eastAsia="ru-RU"/>
        </w:rPr>
        <w:lastRenderedPageBreak/>
        <w:t>в</w:t>
      </w:r>
      <w:r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ходит</w:t>
      </w:r>
      <w:r w:rsidRPr="005B3040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в состав формы ЕФС-1 и </w:t>
      </w:r>
      <w:r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подается</w:t>
      </w:r>
      <w:r w:rsidRPr="005B3040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ежеквартально до 25 числа месяца, следующего за отчетным периодом.</w:t>
      </w:r>
    </w:p>
    <w:p w14:paraId="67478A3E" w14:textId="77777777" w:rsidR="005B3040" w:rsidRPr="005B3040" w:rsidRDefault="005B3040" w:rsidP="005B3040">
      <w:pPr>
        <w:pStyle w:val="2"/>
        <w:spacing w:before="840" w:beforeAutospacing="0" w:after="480" w:afterAutospacing="0"/>
        <w:jc w:val="center"/>
        <w:rPr>
          <w:rFonts w:ascii="Arial" w:hAnsi="Arial" w:cs="Arial"/>
          <w:color w:val="222222"/>
          <w:sz w:val="27"/>
          <w:szCs w:val="27"/>
        </w:rPr>
      </w:pPr>
      <w:r w:rsidRPr="005B3040">
        <w:rPr>
          <w:rFonts w:ascii="Arial" w:hAnsi="Arial" w:cs="Arial"/>
          <w:color w:val="222222"/>
          <w:sz w:val="27"/>
          <w:szCs w:val="27"/>
        </w:rPr>
        <w:t>Порядок расчета среднесписочной численности</w:t>
      </w:r>
    </w:p>
    <w:p w14:paraId="3E8F6B01" w14:textId="5AE485B8" w:rsidR="005B3040" w:rsidRDefault="005B3040" w:rsidP="005B3040">
      <w:pPr>
        <w:pStyle w:val="a3"/>
        <w:spacing w:before="0" w:beforeAutospacing="0" w:after="30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Чтобы посчитать среднесписочную численность (ССЧ) в 2023 году, пользуйтесь указаниями по заполнению формы № П-4, утвержденными приказом Росстата </w:t>
      </w:r>
      <w:hyperlink r:id="rId6" w:anchor="h529" w:tgtFrame="_blank" w:history="1">
        <w:r>
          <w:rPr>
            <w:rStyle w:val="a4"/>
            <w:rFonts w:ascii="Arial" w:hAnsi="Arial" w:cs="Arial"/>
            <w:sz w:val="27"/>
            <w:szCs w:val="27"/>
          </w:rPr>
          <w:t>от 24.11.2021 № 832</w:t>
        </w:r>
      </w:hyperlink>
      <w:r>
        <w:rPr>
          <w:rFonts w:ascii="Arial" w:hAnsi="Arial" w:cs="Arial"/>
          <w:color w:val="222222"/>
          <w:sz w:val="27"/>
          <w:szCs w:val="27"/>
        </w:rPr>
        <w:t xml:space="preserve"> (далее — Указания). </w:t>
      </w:r>
      <w:r w:rsidR="00457054">
        <w:rPr>
          <w:rFonts w:ascii="Arial" w:hAnsi="Arial" w:cs="Arial"/>
          <w:color w:val="222222"/>
          <w:sz w:val="27"/>
          <w:szCs w:val="27"/>
        </w:rPr>
        <w:t>(</w:t>
      </w:r>
      <w:r>
        <w:rPr>
          <w:rFonts w:ascii="Arial" w:hAnsi="Arial" w:cs="Arial"/>
          <w:color w:val="222222"/>
          <w:sz w:val="27"/>
          <w:szCs w:val="27"/>
        </w:rPr>
        <w:t>Для расчета численности за 2021 год и более ранние периоды применялся приказ Росстата от 27.11.2019 № 711</w:t>
      </w:r>
      <w:r w:rsidR="00457054">
        <w:rPr>
          <w:rFonts w:ascii="Arial" w:hAnsi="Arial" w:cs="Arial"/>
          <w:color w:val="222222"/>
          <w:sz w:val="27"/>
          <w:szCs w:val="27"/>
        </w:rPr>
        <w:t>)</w:t>
      </w:r>
      <w:r>
        <w:rPr>
          <w:rFonts w:ascii="Arial" w:hAnsi="Arial" w:cs="Arial"/>
          <w:color w:val="222222"/>
          <w:sz w:val="27"/>
          <w:szCs w:val="27"/>
        </w:rPr>
        <w:t>. </w:t>
      </w:r>
    </w:p>
    <w:p w14:paraId="62E2DD40" w14:textId="77777777" w:rsidR="00457054" w:rsidRDefault="005B3040" w:rsidP="00457054">
      <w:pPr>
        <w:pStyle w:val="a3"/>
        <w:spacing w:before="0" w:beforeAutospacing="0" w:after="30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При расчете действуйте в соответствии со следующим алгоритмом.</w:t>
      </w:r>
    </w:p>
    <w:p w14:paraId="3028B96E" w14:textId="26CB5E06" w:rsidR="005B3040" w:rsidRPr="00457054" w:rsidRDefault="005B3040" w:rsidP="00457054">
      <w:pPr>
        <w:pStyle w:val="a3"/>
        <w:spacing w:before="0" w:beforeAutospacing="0" w:after="300" w:afterAutospacing="0"/>
        <w:rPr>
          <w:rFonts w:ascii="Arial" w:hAnsi="Arial" w:cs="Arial"/>
          <w:b/>
          <w:bCs/>
          <w:color w:val="222222"/>
          <w:sz w:val="27"/>
          <w:szCs w:val="27"/>
        </w:rPr>
      </w:pPr>
      <w:r w:rsidRPr="00457054">
        <w:rPr>
          <w:rFonts w:ascii="Arial" w:hAnsi="Arial" w:cs="Arial"/>
          <w:b/>
          <w:bCs/>
          <w:color w:val="222222"/>
          <w:sz w:val="27"/>
          <w:szCs w:val="27"/>
        </w:rPr>
        <w:t>Этап № 1. Рассчитайте среднесписочную численность (ССЧ) в каждом месяце.</w:t>
      </w:r>
    </w:p>
    <w:p w14:paraId="255E7692" w14:textId="77777777" w:rsidR="005B3040" w:rsidRDefault="005B3040" w:rsidP="005B3040">
      <w:pPr>
        <w:pStyle w:val="a3"/>
        <w:spacing w:before="0" w:beforeAutospacing="0" w:after="30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Для этого вычислите, сколько работников числилось за каждый календарный день месяца, включая праздники и выходные, сложите полученные цифры и разделите на число календарных дней в месяце. В выходные и праздники количество сотрудников принимается равным тому, сколько их было в предыдущий рабочий день. Но если сотрудник уволился в пятницу, с субботы его учитывать не нужно.</w:t>
      </w:r>
    </w:p>
    <w:p w14:paraId="33F78F10" w14:textId="77777777" w:rsidR="005B3040" w:rsidRDefault="005B3040" w:rsidP="005B3040">
      <w:pPr>
        <w:pStyle w:val="a3"/>
        <w:spacing w:before="0" w:beforeAutospacing="0" w:after="30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В расчет берутся все работники на трудовом договоре, в том числе нетрудоспособные из-за болезни, командированные и прочие лица, перечисленные в п. </w:t>
      </w:r>
      <w:hyperlink r:id="rId7" w:history="1">
        <w:r>
          <w:rPr>
            <w:rStyle w:val="a4"/>
            <w:rFonts w:ascii="Arial" w:hAnsi="Arial" w:cs="Arial"/>
            <w:sz w:val="27"/>
            <w:szCs w:val="27"/>
          </w:rPr>
          <w:t>7</w:t>
        </w:r>
        <w:r>
          <w:rPr>
            <w:rStyle w:val="a4"/>
            <w:rFonts w:ascii="Arial" w:hAnsi="Arial" w:cs="Arial"/>
            <w:sz w:val="27"/>
            <w:szCs w:val="27"/>
          </w:rPr>
          <w:t>7</w:t>
        </w:r>
      </w:hyperlink>
      <w:r>
        <w:rPr>
          <w:rFonts w:ascii="Arial" w:hAnsi="Arial" w:cs="Arial"/>
          <w:color w:val="222222"/>
          <w:sz w:val="27"/>
          <w:szCs w:val="27"/>
        </w:rPr>
        <w:t> Указаний. Есть и те категории лиц, которые не участвуют в расчете численности, например, исполнители по договорам ГПХ, внешние совместители, сотрудники, переведенные на работу в другую организацию, собственники без зарплаты — полный список дан в п. </w:t>
      </w:r>
      <w:hyperlink r:id="rId8" w:tgtFrame="_blank" w:history="1">
        <w:r>
          <w:rPr>
            <w:rStyle w:val="a4"/>
            <w:rFonts w:ascii="Arial" w:hAnsi="Arial" w:cs="Arial"/>
            <w:sz w:val="27"/>
            <w:szCs w:val="27"/>
          </w:rPr>
          <w:t>78</w:t>
        </w:r>
      </w:hyperlink>
      <w:r>
        <w:rPr>
          <w:rFonts w:ascii="Arial" w:hAnsi="Arial" w:cs="Arial"/>
          <w:color w:val="222222"/>
          <w:sz w:val="27"/>
          <w:szCs w:val="27"/>
        </w:rPr>
        <w:t> Указаний.</w:t>
      </w:r>
    </w:p>
    <w:p w14:paraId="3B38325A" w14:textId="77777777" w:rsidR="005B3040" w:rsidRDefault="005B3040" w:rsidP="005B3040">
      <w:pPr>
        <w:pStyle w:val="a3"/>
        <w:spacing w:before="0" w:beforeAutospacing="0" w:after="30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Кроме того, в среднесписочную численность не включаются:</w:t>
      </w:r>
    </w:p>
    <w:p w14:paraId="75F082DB" w14:textId="77777777" w:rsidR="005B3040" w:rsidRDefault="005B3040" w:rsidP="005B3040">
      <w:pPr>
        <w:numPr>
          <w:ilvl w:val="0"/>
          <w:numId w:val="3"/>
        </w:numPr>
        <w:spacing w:before="100" w:beforeAutospacing="1" w:after="133" w:line="240" w:lineRule="auto"/>
        <w:ind w:firstLine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женщины в отпусках по беременности и родам и другие лица в отпусках по усыновлению, уходу за ребенком (п. </w:t>
      </w:r>
      <w:hyperlink r:id="rId9" w:history="1">
        <w:r>
          <w:rPr>
            <w:rStyle w:val="a4"/>
            <w:rFonts w:ascii="Arial" w:hAnsi="Arial" w:cs="Arial"/>
            <w:sz w:val="27"/>
            <w:szCs w:val="27"/>
          </w:rPr>
          <w:t>79.1</w:t>
        </w:r>
      </w:hyperlink>
      <w:r>
        <w:rPr>
          <w:rFonts w:ascii="Arial" w:hAnsi="Arial" w:cs="Arial"/>
          <w:color w:val="222222"/>
          <w:sz w:val="27"/>
          <w:szCs w:val="27"/>
        </w:rPr>
        <w:t> Указаний);</w:t>
      </w:r>
    </w:p>
    <w:p w14:paraId="26D8F56F" w14:textId="77777777" w:rsidR="005B3040" w:rsidRDefault="005B3040" w:rsidP="005B3040">
      <w:pPr>
        <w:numPr>
          <w:ilvl w:val="0"/>
          <w:numId w:val="3"/>
        </w:numPr>
        <w:spacing w:before="100" w:beforeAutospacing="1" w:after="133" w:line="240" w:lineRule="auto"/>
        <w:ind w:firstLine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работники, обучающиеся в образовательных организациях или сдающие вступительные экзамены, которые взяли дополнительный отпуск без сохранения зарплаты.</w:t>
      </w:r>
    </w:p>
    <w:p w14:paraId="744344E9" w14:textId="1D46BDC8" w:rsidR="002D37CF" w:rsidRDefault="005B3040" w:rsidP="005B3040">
      <w:pPr>
        <w:pStyle w:val="a3"/>
        <w:spacing w:before="0" w:beforeAutospacing="0" w:after="30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Об особенностях учета мобилизованных</w:t>
      </w:r>
      <w:r w:rsidR="00C079D1">
        <w:rPr>
          <w:rFonts w:ascii="Arial" w:hAnsi="Arial" w:cs="Arial"/>
          <w:color w:val="222222"/>
          <w:sz w:val="27"/>
          <w:szCs w:val="27"/>
        </w:rPr>
        <w:t xml:space="preserve"> граждан</w:t>
      </w:r>
      <w:r w:rsidR="002D37CF">
        <w:rPr>
          <w:rFonts w:ascii="Arial" w:hAnsi="Arial" w:cs="Arial"/>
          <w:color w:val="222222"/>
          <w:sz w:val="27"/>
          <w:szCs w:val="27"/>
        </w:rPr>
        <w:t xml:space="preserve"> смотрите в разъяснениях </w:t>
      </w:r>
      <w:r w:rsidR="002D37CF" w:rsidRPr="002D37CF">
        <w:rPr>
          <w:rFonts w:ascii="Arial" w:hAnsi="Arial" w:cs="Arial"/>
          <w:color w:val="222222"/>
          <w:sz w:val="27"/>
          <w:szCs w:val="27"/>
        </w:rPr>
        <w:t>Росстат</w:t>
      </w:r>
      <w:r w:rsidR="002D37CF">
        <w:rPr>
          <w:rFonts w:ascii="Arial" w:hAnsi="Arial" w:cs="Arial"/>
          <w:color w:val="222222"/>
          <w:sz w:val="27"/>
          <w:szCs w:val="27"/>
        </w:rPr>
        <w:t>а</w:t>
      </w:r>
      <w:r w:rsidR="002D37CF" w:rsidRPr="002D37CF">
        <w:rPr>
          <w:rFonts w:ascii="Arial" w:hAnsi="Arial" w:cs="Arial"/>
          <w:color w:val="222222"/>
          <w:sz w:val="27"/>
          <w:szCs w:val="27"/>
        </w:rPr>
        <w:t xml:space="preserve"> совместно с Минтруда и Минэкономразвития</w:t>
      </w:r>
      <w:r w:rsidR="002D37CF">
        <w:rPr>
          <w:rFonts w:ascii="Arial" w:hAnsi="Arial" w:cs="Arial"/>
          <w:color w:val="222222"/>
          <w:sz w:val="27"/>
          <w:szCs w:val="27"/>
        </w:rPr>
        <w:t xml:space="preserve">  </w:t>
      </w:r>
      <w:hyperlink r:id="rId10" w:history="1">
        <w:r w:rsidR="002D37CF" w:rsidRPr="004C1D02">
          <w:rPr>
            <w:rStyle w:val="a4"/>
            <w:rFonts w:ascii="Arial" w:hAnsi="Arial" w:cs="Arial"/>
            <w:sz w:val="27"/>
            <w:szCs w:val="27"/>
          </w:rPr>
          <w:t>https://rosstat.gov.ru/entities</w:t>
        </w:r>
      </w:hyperlink>
      <w:r w:rsidR="002D37CF">
        <w:rPr>
          <w:rFonts w:ascii="Arial" w:hAnsi="Arial" w:cs="Arial"/>
          <w:color w:val="222222"/>
          <w:sz w:val="27"/>
          <w:szCs w:val="27"/>
        </w:rPr>
        <w:t>.</w:t>
      </w:r>
    </w:p>
    <w:p w14:paraId="44F70DC7" w14:textId="18E4C16D" w:rsidR="002D37CF" w:rsidRPr="002D37CF" w:rsidRDefault="002D37CF" w:rsidP="002D37CF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</w:t>
      </w:r>
      <w:r w:rsidRPr="002D37C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огласно </w:t>
      </w:r>
      <w:r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разъяснения</w:t>
      </w:r>
      <w:r w:rsidRPr="002D37C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м</w:t>
      </w:r>
      <w:r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</w:t>
      </w:r>
      <w:r w:rsidRPr="002D37C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мобилизованные и добровольцы на весь период службы:</w:t>
      </w:r>
    </w:p>
    <w:p w14:paraId="54D85938" w14:textId="77777777" w:rsidR="002D37CF" w:rsidRPr="002D37CF" w:rsidRDefault="002D37CF" w:rsidP="002D37CF">
      <w:pPr>
        <w:numPr>
          <w:ilvl w:val="0"/>
          <w:numId w:val="4"/>
        </w:numPr>
        <w:spacing w:before="100" w:beforeAutospacing="1" w:after="133" w:line="240" w:lineRule="auto"/>
        <w:ind w:firstLine="0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2D37CF">
        <w:rPr>
          <w:rFonts w:ascii="Arial" w:eastAsia="Times New Roman" w:hAnsi="Arial" w:cs="Arial"/>
          <w:color w:val="222222"/>
          <w:sz w:val="27"/>
          <w:szCs w:val="27"/>
          <w:lang w:eastAsia="ru-RU"/>
        </w:rPr>
        <w:lastRenderedPageBreak/>
        <w:t>не включаются в среднесписочную численность;</w:t>
      </w:r>
    </w:p>
    <w:p w14:paraId="0AE38F97" w14:textId="77777777" w:rsidR="002D37CF" w:rsidRPr="002D37CF" w:rsidRDefault="002D37CF" w:rsidP="002D37CF">
      <w:pPr>
        <w:numPr>
          <w:ilvl w:val="0"/>
          <w:numId w:val="4"/>
        </w:numPr>
        <w:spacing w:before="100" w:beforeAutospacing="1" w:after="133" w:line="240" w:lineRule="auto"/>
        <w:ind w:firstLine="0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2D37C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включаются в списочную численность работников как целые единицы.</w:t>
      </w:r>
    </w:p>
    <w:p w14:paraId="570849F4" w14:textId="77777777" w:rsidR="002D37CF" w:rsidRDefault="002D37CF" w:rsidP="002D37CF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2D37C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Отсюда следует, что в полях «Среднесписочная численность» РСВ и 4-ФСС таких сотрудников учитывать нельзя.</w:t>
      </w:r>
    </w:p>
    <w:p w14:paraId="625F4ADD" w14:textId="77777777" w:rsidR="001D207A" w:rsidRPr="001D207A" w:rsidRDefault="001D207A" w:rsidP="001D207A">
      <w:pPr>
        <w:pStyle w:val="a3"/>
        <w:spacing w:before="0" w:beforeAutospacing="0" w:after="300" w:afterAutospacing="0"/>
        <w:rPr>
          <w:rFonts w:ascii="Arial" w:hAnsi="Arial" w:cs="Arial"/>
          <w:i/>
          <w:iCs/>
          <w:color w:val="222222"/>
          <w:sz w:val="27"/>
          <w:szCs w:val="27"/>
        </w:rPr>
      </w:pPr>
      <w:r w:rsidRPr="001D207A">
        <w:rPr>
          <w:rStyle w:val="a7"/>
          <w:rFonts w:ascii="Arial" w:hAnsi="Arial" w:cs="Arial"/>
          <w:i/>
          <w:iCs/>
          <w:color w:val="222222"/>
          <w:sz w:val="27"/>
          <w:szCs w:val="27"/>
        </w:rPr>
        <w:t>Пример. </w:t>
      </w:r>
      <w:r w:rsidRPr="001D207A">
        <w:rPr>
          <w:rFonts w:ascii="Arial" w:hAnsi="Arial" w:cs="Arial"/>
          <w:i/>
          <w:iCs/>
          <w:color w:val="222222"/>
          <w:sz w:val="27"/>
          <w:szCs w:val="27"/>
        </w:rPr>
        <w:t>У ИП в феврале 2023 года трудилось семь человек. Шестеро отработали все 28 дней, седьмой лишь 18 дней, так как был принят на работу 11.02.2022.</w:t>
      </w:r>
    </w:p>
    <w:p w14:paraId="7CC7E9EE" w14:textId="77777777" w:rsidR="001D207A" w:rsidRPr="001D207A" w:rsidRDefault="001D207A" w:rsidP="001D207A">
      <w:pPr>
        <w:pStyle w:val="a3"/>
        <w:spacing w:before="0" w:beforeAutospacing="0" w:after="300" w:afterAutospacing="0"/>
        <w:rPr>
          <w:rFonts w:ascii="Arial" w:hAnsi="Arial" w:cs="Arial"/>
          <w:i/>
          <w:iCs/>
          <w:color w:val="222222"/>
          <w:sz w:val="27"/>
          <w:szCs w:val="27"/>
        </w:rPr>
      </w:pPr>
      <w:r w:rsidRPr="001D207A">
        <w:rPr>
          <w:rFonts w:ascii="Arial" w:hAnsi="Arial" w:cs="Arial"/>
          <w:i/>
          <w:iCs/>
          <w:color w:val="222222"/>
          <w:sz w:val="27"/>
          <w:szCs w:val="27"/>
        </w:rPr>
        <w:t>Среднесписочная численность работников в ноябре составит:</w:t>
      </w:r>
    </w:p>
    <w:p w14:paraId="1C665403" w14:textId="77777777" w:rsidR="001D207A" w:rsidRDefault="001D207A" w:rsidP="001D207A">
      <w:pPr>
        <w:pStyle w:val="a3"/>
        <w:spacing w:before="0" w:beforeAutospacing="0" w:after="0" w:afterAutospacing="0"/>
        <w:rPr>
          <w:rFonts w:ascii="Arial" w:hAnsi="Arial" w:cs="Arial"/>
          <w:i/>
          <w:iCs/>
          <w:color w:val="222222"/>
          <w:sz w:val="27"/>
          <w:szCs w:val="27"/>
        </w:rPr>
      </w:pPr>
      <w:r w:rsidRPr="001D207A">
        <w:rPr>
          <w:rFonts w:ascii="Arial" w:hAnsi="Arial" w:cs="Arial"/>
          <w:i/>
          <w:iCs/>
          <w:color w:val="222222"/>
          <w:sz w:val="27"/>
          <w:szCs w:val="27"/>
        </w:rPr>
        <w:t>(6 × 28) + (1 × 18) = 186 / 28 = 6,64 (округлять не нужно).</w:t>
      </w:r>
    </w:p>
    <w:p w14:paraId="46E96D6B" w14:textId="77777777" w:rsidR="001D207A" w:rsidRDefault="001D207A" w:rsidP="001D207A">
      <w:pPr>
        <w:pStyle w:val="a3"/>
        <w:spacing w:before="0" w:beforeAutospacing="0" w:after="0" w:afterAutospacing="0"/>
        <w:rPr>
          <w:rFonts w:ascii="Arial" w:hAnsi="Arial" w:cs="Arial"/>
          <w:i/>
          <w:iCs/>
          <w:color w:val="222222"/>
          <w:sz w:val="27"/>
          <w:szCs w:val="27"/>
        </w:rPr>
      </w:pPr>
    </w:p>
    <w:p w14:paraId="274A1AFF" w14:textId="77777777" w:rsidR="001D207A" w:rsidRPr="001D207A" w:rsidRDefault="001D207A" w:rsidP="001D207A">
      <w:pPr>
        <w:pStyle w:val="a3"/>
        <w:spacing w:before="0" w:beforeAutospacing="0" w:after="300" w:afterAutospacing="0"/>
        <w:rPr>
          <w:rFonts w:ascii="Arial" w:hAnsi="Arial" w:cs="Arial"/>
          <w:b/>
          <w:bCs/>
          <w:color w:val="222222"/>
          <w:sz w:val="27"/>
          <w:szCs w:val="27"/>
        </w:rPr>
      </w:pPr>
      <w:r w:rsidRPr="001D207A">
        <w:rPr>
          <w:rFonts w:ascii="Arial" w:hAnsi="Arial" w:cs="Arial"/>
          <w:b/>
          <w:bCs/>
          <w:color w:val="222222"/>
          <w:sz w:val="27"/>
          <w:szCs w:val="27"/>
        </w:rPr>
        <w:t>Этап № 2. Рассчитайте ССЧ тех, кто работал неполный рабочий день.</w:t>
      </w:r>
    </w:p>
    <w:p w14:paraId="021C5A26" w14:textId="5D0F4489" w:rsidR="001D207A" w:rsidRDefault="001D207A" w:rsidP="001D207A">
      <w:pPr>
        <w:pStyle w:val="a3"/>
        <w:spacing w:before="0" w:beforeAutospacing="0" w:after="30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Сотрудники с неполным рабочим временем учитываются пропорционально отработанному времени исходя из продолжительности рабочего времени, установленной трудовым договором,</w:t>
      </w:r>
      <w:r>
        <w:rPr>
          <w:rFonts w:ascii="Arial" w:hAnsi="Arial" w:cs="Arial"/>
          <w:color w:val="222222"/>
          <w:sz w:val="27"/>
          <w:szCs w:val="27"/>
        </w:rPr>
        <w:t xml:space="preserve"> штатным расписанием. </w:t>
      </w:r>
      <w:r>
        <w:rPr>
          <w:rFonts w:ascii="Arial" w:hAnsi="Arial" w:cs="Arial"/>
          <w:color w:val="222222"/>
          <w:sz w:val="27"/>
          <w:szCs w:val="27"/>
        </w:rPr>
        <w:t xml:space="preserve">Это не касается работников младше 18 лет, </w:t>
      </w:r>
      <w:r>
        <w:rPr>
          <w:rFonts w:ascii="Arial" w:hAnsi="Arial" w:cs="Arial"/>
          <w:color w:val="222222"/>
          <w:sz w:val="27"/>
          <w:szCs w:val="27"/>
        </w:rPr>
        <w:t xml:space="preserve">тех, кто работает во </w:t>
      </w:r>
      <w:r>
        <w:rPr>
          <w:rFonts w:ascii="Arial" w:hAnsi="Arial" w:cs="Arial"/>
          <w:color w:val="222222"/>
          <w:sz w:val="27"/>
          <w:szCs w:val="27"/>
        </w:rPr>
        <w:t>вредн</w:t>
      </w:r>
      <w:r>
        <w:rPr>
          <w:rFonts w:ascii="Arial" w:hAnsi="Arial" w:cs="Arial"/>
          <w:color w:val="222222"/>
          <w:sz w:val="27"/>
          <w:szCs w:val="27"/>
        </w:rPr>
        <w:t>ых условиях труда</w:t>
      </w:r>
      <w:r>
        <w:rPr>
          <w:rFonts w:ascii="Arial" w:hAnsi="Arial" w:cs="Arial"/>
          <w:color w:val="222222"/>
          <w:sz w:val="27"/>
          <w:szCs w:val="27"/>
        </w:rPr>
        <w:t>, кормящих женщин и других сотрудников, которым сокращенное рабочее время установлено по закону — они учитываются как целые единицы. То же самое относится к лицам, которые работали неполное время по инициативе работодателя.</w:t>
      </w:r>
    </w:p>
    <w:p w14:paraId="14BB0AEC" w14:textId="495331AE" w:rsidR="001D207A" w:rsidRDefault="001D207A" w:rsidP="001D207A">
      <w:pPr>
        <w:pStyle w:val="a3"/>
        <w:spacing w:before="0" w:beforeAutospacing="0" w:after="30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Расчет производится в </w:t>
      </w:r>
      <w:r>
        <w:rPr>
          <w:rFonts w:ascii="Arial" w:hAnsi="Arial" w:cs="Arial"/>
          <w:color w:val="222222"/>
          <w:sz w:val="27"/>
          <w:szCs w:val="27"/>
        </w:rPr>
        <w:t>следующем</w:t>
      </w:r>
      <w:r>
        <w:rPr>
          <w:rFonts w:ascii="Arial" w:hAnsi="Arial" w:cs="Arial"/>
          <w:color w:val="222222"/>
          <w:sz w:val="27"/>
          <w:szCs w:val="27"/>
        </w:rPr>
        <w:t xml:space="preserve"> порядке:</w:t>
      </w:r>
    </w:p>
    <w:p w14:paraId="669EAC2B" w14:textId="6D5DC6C1" w:rsidR="001D207A" w:rsidRDefault="001D207A" w:rsidP="001D207A">
      <w:pPr>
        <w:numPr>
          <w:ilvl w:val="0"/>
          <w:numId w:val="5"/>
        </w:numPr>
        <w:spacing w:before="100" w:beforeAutospacing="1" w:after="133" w:line="240" w:lineRule="auto"/>
        <w:ind w:firstLine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сначала необходимо рас</w:t>
      </w:r>
      <w:r>
        <w:rPr>
          <w:rFonts w:ascii="Arial" w:hAnsi="Arial" w:cs="Arial"/>
          <w:color w:val="222222"/>
          <w:sz w:val="27"/>
          <w:szCs w:val="27"/>
        </w:rPr>
        <w:t>счита</w:t>
      </w:r>
      <w:r>
        <w:rPr>
          <w:rFonts w:ascii="Arial" w:hAnsi="Arial" w:cs="Arial"/>
          <w:color w:val="222222"/>
          <w:sz w:val="27"/>
          <w:szCs w:val="27"/>
        </w:rPr>
        <w:t>ть</w:t>
      </w:r>
      <w:r>
        <w:rPr>
          <w:rFonts w:ascii="Arial" w:hAnsi="Arial" w:cs="Arial"/>
          <w:color w:val="222222"/>
          <w:sz w:val="27"/>
          <w:szCs w:val="27"/>
        </w:rPr>
        <w:t xml:space="preserve">, как учитывается не полностью занятый работник в одном рабочем дне: </w:t>
      </w:r>
      <w:r>
        <w:rPr>
          <w:rFonts w:ascii="Arial" w:hAnsi="Arial" w:cs="Arial"/>
          <w:color w:val="222222"/>
          <w:sz w:val="27"/>
          <w:szCs w:val="27"/>
        </w:rPr>
        <w:t>раз</w:t>
      </w:r>
      <w:r>
        <w:rPr>
          <w:rFonts w:ascii="Arial" w:hAnsi="Arial" w:cs="Arial"/>
          <w:color w:val="222222"/>
          <w:sz w:val="27"/>
          <w:szCs w:val="27"/>
        </w:rPr>
        <w:t>дели</w:t>
      </w:r>
      <w:r>
        <w:rPr>
          <w:rFonts w:ascii="Arial" w:hAnsi="Arial" w:cs="Arial"/>
          <w:color w:val="222222"/>
          <w:sz w:val="27"/>
          <w:szCs w:val="27"/>
        </w:rPr>
        <w:t xml:space="preserve">ть </w:t>
      </w:r>
      <w:r>
        <w:rPr>
          <w:rFonts w:ascii="Arial" w:hAnsi="Arial" w:cs="Arial"/>
          <w:color w:val="222222"/>
          <w:sz w:val="27"/>
          <w:szCs w:val="27"/>
        </w:rPr>
        <w:t xml:space="preserve"> количество часов в день на </w:t>
      </w:r>
      <w:r>
        <w:rPr>
          <w:rFonts w:ascii="Arial" w:hAnsi="Arial" w:cs="Arial"/>
          <w:color w:val="222222"/>
          <w:sz w:val="27"/>
          <w:szCs w:val="27"/>
        </w:rPr>
        <w:t xml:space="preserve">обычную </w:t>
      </w:r>
      <w:r>
        <w:rPr>
          <w:rFonts w:ascii="Arial" w:hAnsi="Arial" w:cs="Arial"/>
          <w:color w:val="222222"/>
          <w:sz w:val="27"/>
          <w:szCs w:val="27"/>
        </w:rPr>
        <w:t>продолжительность рабочего дня;</w:t>
      </w:r>
    </w:p>
    <w:p w14:paraId="703FD372" w14:textId="69CB0112" w:rsidR="001D207A" w:rsidRDefault="001D207A" w:rsidP="001D207A">
      <w:pPr>
        <w:numPr>
          <w:ilvl w:val="0"/>
          <w:numId w:val="5"/>
        </w:numPr>
        <w:spacing w:before="100" w:beforeAutospacing="1" w:after="133" w:line="240" w:lineRule="auto"/>
        <w:ind w:firstLine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определить</w:t>
      </w:r>
      <w:r>
        <w:rPr>
          <w:rFonts w:ascii="Arial" w:hAnsi="Arial" w:cs="Arial"/>
          <w:color w:val="222222"/>
          <w:sz w:val="27"/>
          <w:szCs w:val="27"/>
        </w:rPr>
        <w:t xml:space="preserve"> количество полностью отработанных дней: умножаем предыдущий показатель на количество рабочих дней по календарю в месяце;</w:t>
      </w:r>
    </w:p>
    <w:p w14:paraId="5B9FB6D8" w14:textId="4A1436FD" w:rsidR="001D207A" w:rsidRDefault="001D207A" w:rsidP="001D207A">
      <w:pPr>
        <w:numPr>
          <w:ilvl w:val="0"/>
          <w:numId w:val="5"/>
        </w:numPr>
        <w:spacing w:before="100" w:beforeAutospacing="1" w:after="133" w:line="240" w:lineRule="auto"/>
        <w:ind w:firstLine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определ</w:t>
      </w:r>
      <w:r>
        <w:rPr>
          <w:rFonts w:ascii="Arial" w:hAnsi="Arial" w:cs="Arial"/>
          <w:color w:val="222222"/>
          <w:sz w:val="27"/>
          <w:szCs w:val="27"/>
        </w:rPr>
        <w:t>ить</w:t>
      </w:r>
      <w:r>
        <w:rPr>
          <w:rFonts w:ascii="Arial" w:hAnsi="Arial" w:cs="Arial"/>
          <w:color w:val="222222"/>
          <w:sz w:val="27"/>
          <w:szCs w:val="27"/>
        </w:rPr>
        <w:t xml:space="preserve"> среднюю численность не полностью занятых: </w:t>
      </w:r>
      <w:r>
        <w:rPr>
          <w:rFonts w:ascii="Arial" w:hAnsi="Arial" w:cs="Arial"/>
          <w:color w:val="222222"/>
          <w:sz w:val="27"/>
          <w:szCs w:val="27"/>
        </w:rPr>
        <w:t>раз</w:t>
      </w:r>
      <w:r>
        <w:rPr>
          <w:rFonts w:ascii="Arial" w:hAnsi="Arial" w:cs="Arial"/>
          <w:color w:val="222222"/>
          <w:sz w:val="27"/>
          <w:szCs w:val="27"/>
        </w:rPr>
        <w:t>дели</w:t>
      </w:r>
      <w:r>
        <w:rPr>
          <w:rFonts w:ascii="Arial" w:hAnsi="Arial" w:cs="Arial"/>
          <w:color w:val="222222"/>
          <w:sz w:val="27"/>
          <w:szCs w:val="27"/>
        </w:rPr>
        <w:t>ть</w:t>
      </w:r>
      <w:r>
        <w:rPr>
          <w:rFonts w:ascii="Arial" w:hAnsi="Arial" w:cs="Arial"/>
          <w:color w:val="222222"/>
          <w:sz w:val="27"/>
          <w:szCs w:val="27"/>
        </w:rPr>
        <w:t xml:space="preserve"> отработанные дни на число рабочих дней по календарю в месяце.</w:t>
      </w:r>
    </w:p>
    <w:p w14:paraId="1936752E" w14:textId="061604FF" w:rsidR="001D207A" w:rsidRDefault="001D207A" w:rsidP="001D207A">
      <w:pPr>
        <w:pStyle w:val="a3"/>
        <w:spacing w:before="0" w:beforeAutospacing="0" w:after="30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Style w:val="a7"/>
          <w:rFonts w:ascii="Arial" w:hAnsi="Arial" w:cs="Arial"/>
          <w:color w:val="222222"/>
          <w:sz w:val="27"/>
          <w:szCs w:val="27"/>
        </w:rPr>
        <w:t>В</w:t>
      </w:r>
      <w:r w:rsidR="00496953">
        <w:rPr>
          <w:rStyle w:val="a7"/>
          <w:rFonts w:ascii="Arial" w:hAnsi="Arial" w:cs="Arial"/>
          <w:color w:val="222222"/>
          <w:sz w:val="27"/>
          <w:szCs w:val="27"/>
        </w:rPr>
        <w:t>нимание</w:t>
      </w:r>
      <w:r>
        <w:rPr>
          <w:rStyle w:val="a7"/>
          <w:rFonts w:ascii="Arial" w:hAnsi="Arial" w:cs="Arial"/>
          <w:color w:val="222222"/>
          <w:sz w:val="27"/>
          <w:szCs w:val="27"/>
        </w:rPr>
        <w:t>! </w:t>
      </w:r>
      <w:r>
        <w:rPr>
          <w:rFonts w:ascii="Arial" w:hAnsi="Arial" w:cs="Arial"/>
          <w:color w:val="222222"/>
          <w:sz w:val="27"/>
          <w:szCs w:val="27"/>
        </w:rPr>
        <w:t>За дни болезни, отпуска, неявок (приходящиеся на рабочие дни по календарю) в число отработанных человеко-часов условно включаются часы по предыдущему рабочему дню.</w:t>
      </w:r>
    </w:p>
    <w:p w14:paraId="593A3116" w14:textId="02C79B2C" w:rsidR="001D207A" w:rsidRDefault="001D207A" w:rsidP="001D207A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</w:rPr>
        <w:lastRenderedPageBreak/>
        <mc:AlternateContent>
          <mc:Choice Requires="wps">
            <w:drawing>
              <wp:inline distT="0" distB="0" distL="0" distR="0" wp14:anchorId="478DD5A6" wp14:editId="3644A701">
                <wp:extent cx="609600" cy="609600"/>
                <wp:effectExtent l="0" t="0" r="0" b="0"/>
                <wp:docPr id="519178356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F4E2C3" id="Прямоугольник 1" o:spid="_x0000_s1026" style="width:48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287A0EDB" w14:textId="7851E267" w:rsidR="001D207A" w:rsidRPr="005C29F4" w:rsidRDefault="001D207A" w:rsidP="001D207A">
      <w:pPr>
        <w:pStyle w:val="a3"/>
        <w:spacing w:before="0" w:beforeAutospacing="0" w:after="300" w:afterAutospacing="0"/>
        <w:rPr>
          <w:rFonts w:ascii="Arial" w:hAnsi="Arial" w:cs="Arial"/>
          <w:i/>
          <w:iCs/>
          <w:color w:val="222222"/>
          <w:sz w:val="27"/>
          <w:szCs w:val="27"/>
        </w:rPr>
      </w:pPr>
      <w:r w:rsidRPr="005C29F4">
        <w:rPr>
          <w:rStyle w:val="a7"/>
          <w:rFonts w:ascii="Arial" w:hAnsi="Arial" w:cs="Arial"/>
          <w:i/>
          <w:iCs/>
          <w:color w:val="222222"/>
          <w:sz w:val="27"/>
          <w:szCs w:val="27"/>
        </w:rPr>
        <w:t>Пример.</w:t>
      </w:r>
      <w:r w:rsidRPr="005C29F4">
        <w:rPr>
          <w:rFonts w:ascii="Arial" w:hAnsi="Arial" w:cs="Arial"/>
          <w:i/>
          <w:iCs/>
          <w:color w:val="222222"/>
          <w:sz w:val="27"/>
          <w:szCs w:val="27"/>
        </w:rPr>
        <w:t> В ООО «</w:t>
      </w:r>
      <w:r w:rsidR="005C29F4" w:rsidRPr="005C29F4">
        <w:rPr>
          <w:rFonts w:ascii="Arial" w:hAnsi="Arial" w:cs="Arial"/>
          <w:i/>
          <w:iCs/>
          <w:color w:val="222222"/>
          <w:sz w:val="27"/>
          <w:szCs w:val="27"/>
        </w:rPr>
        <w:t>Ромашка</w:t>
      </w:r>
      <w:r w:rsidRPr="005C29F4">
        <w:rPr>
          <w:rFonts w:ascii="Arial" w:hAnsi="Arial" w:cs="Arial"/>
          <w:i/>
          <w:iCs/>
          <w:color w:val="222222"/>
          <w:sz w:val="27"/>
          <w:szCs w:val="27"/>
        </w:rPr>
        <w:t>» установлена продолжительность рабочего дня 8 часов. В ноябре был задействован сотрудник на 3 часа работы в течение 11 рабочих дней. Таким образом, всего сотрудник отработал в ноябре 33 часа (11 × 3).</w:t>
      </w:r>
    </w:p>
    <w:p w14:paraId="6D98B6AE" w14:textId="223306C2" w:rsidR="001D207A" w:rsidRPr="005C29F4" w:rsidRDefault="001D207A" w:rsidP="005C29F4">
      <w:pPr>
        <w:spacing w:before="100" w:beforeAutospacing="1" w:after="133" w:line="240" w:lineRule="auto"/>
        <w:rPr>
          <w:rFonts w:ascii="Arial" w:hAnsi="Arial" w:cs="Arial"/>
          <w:i/>
          <w:iCs/>
          <w:color w:val="222222"/>
          <w:sz w:val="27"/>
          <w:szCs w:val="27"/>
        </w:rPr>
      </w:pPr>
      <w:r w:rsidRPr="005C29F4">
        <w:rPr>
          <w:rFonts w:ascii="Arial" w:hAnsi="Arial" w:cs="Arial"/>
          <w:i/>
          <w:iCs/>
          <w:color w:val="222222"/>
          <w:sz w:val="27"/>
          <w:szCs w:val="27"/>
        </w:rPr>
        <w:t>Как учитывается сотрудник за один день = 3 часа в день / 8 рабочих часов стандартно = 0,375 человека</w:t>
      </w:r>
      <w:r w:rsidR="005C29F4">
        <w:rPr>
          <w:rFonts w:ascii="Arial" w:hAnsi="Arial" w:cs="Arial"/>
          <w:i/>
          <w:iCs/>
          <w:color w:val="222222"/>
          <w:sz w:val="27"/>
          <w:szCs w:val="27"/>
        </w:rPr>
        <w:t>.</w:t>
      </w:r>
    </w:p>
    <w:p w14:paraId="16A52A39" w14:textId="77777777" w:rsidR="001D207A" w:rsidRPr="005C29F4" w:rsidRDefault="001D207A" w:rsidP="005C29F4">
      <w:pPr>
        <w:spacing w:before="100" w:beforeAutospacing="1" w:after="133" w:line="240" w:lineRule="auto"/>
        <w:rPr>
          <w:rFonts w:ascii="Arial" w:hAnsi="Arial" w:cs="Arial"/>
          <w:i/>
          <w:iCs/>
          <w:color w:val="222222"/>
          <w:sz w:val="27"/>
          <w:szCs w:val="27"/>
        </w:rPr>
      </w:pPr>
      <w:r w:rsidRPr="005C29F4">
        <w:rPr>
          <w:rFonts w:ascii="Arial" w:hAnsi="Arial" w:cs="Arial"/>
          <w:i/>
          <w:iCs/>
          <w:color w:val="222222"/>
          <w:sz w:val="27"/>
          <w:szCs w:val="27"/>
        </w:rPr>
        <w:t>Общее количество отработанных человекодней = 0,375 человека × 11 рабочих дней = </w:t>
      </w:r>
      <w:r w:rsidRPr="005C29F4">
        <w:rPr>
          <w:rStyle w:val="a7"/>
          <w:rFonts w:ascii="Arial" w:hAnsi="Arial" w:cs="Arial"/>
          <w:i/>
          <w:iCs/>
          <w:color w:val="222222"/>
          <w:sz w:val="27"/>
          <w:szCs w:val="27"/>
        </w:rPr>
        <w:t>4,13</w:t>
      </w:r>
      <w:r w:rsidRPr="005C29F4">
        <w:rPr>
          <w:rFonts w:ascii="Arial" w:hAnsi="Arial" w:cs="Arial"/>
          <w:i/>
          <w:iCs/>
          <w:color w:val="222222"/>
          <w:sz w:val="27"/>
          <w:szCs w:val="27"/>
        </w:rPr>
        <w:t>.</w:t>
      </w:r>
    </w:p>
    <w:p w14:paraId="59518DAB" w14:textId="77777777" w:rsidR="001D207A" w:rsidRPr="005C29F4" w:rsidRDefault="001D207A" w:rsidP="005C29F4">
      <w:pPr>
        <w:spacing w:before="100" w:beforeAutospacing="1" w:after="133" w:line="240" w:lineRule="auto"/>
        <w:rPr>
          <w:rFonts w:ascii="Arial" w:hAnsi="Arial" w:cs="Arial"/>
          <w:i/>
          <w:iCs/>
          <w:color w:val="222222"/>
          <w:sz w:val="27"/>
          <w:szCs w:val="27"/>
        </w:rPr>
      </w:pPr>
      <w:r w:rsidRPr="005C29F4">
        <w:rPr>
          <w:rFonts w:ascii="Arial" w:hAnsi="Arial" w:cs="Arial"/>
          <w:i/>
          <w:iCs/>
          <w:color w:val="222222"/>
          <w:sz w:val="27"/>
          <w:szCs w:val="27"/>
        </w:rPr>
        <w:t>Месячная ССЧ сотрудников, занятых неполный рабочий день = 4,13 человекодня / 21 рабочий день в ноябре = </w:t>
      </w:r>
      <w:r w:rsidRPr="005C29F4">
        <w:rPr>
          <w:rStyle w:val="a7"/>
          <w:rFonts w:ascii="Arial" w:hAnsi="Arial" w:cs="Arial"/>
          <w:i/>
          <w:iCs/>
          <w:color w:val="222222"/>
          <w:sz w:val="27"/>
          <w:szCs w:val="27"/>
        </w:rPr>
        <w:t>0,2 человека</w:t>
      </w:r>
      <w:r w:rsidRPr="005C29F4">
        <w:rPr>
          <w:rFonts w:ascii="Arial" w:hAnsi="Arial" w:cs="Arial"/>
          <w:i/>
          <w:iCs/>
          <w:color w:val="222222"/>
          <w:sz w:val="27"/>
          <w:szCs w:val="27"/>
        </w:rPr>
        <w:t>.</w:t>
      </w:r>
    </w:p>
    <w:p w14:paraId="28B4C578" w14:textId="77777777" w:rsidR="001D207A" w:rsidRPr="005C29F4" w:rsidRDefault="001D207A" w:rsidP="001D207A">
      <w:pPr>
        <w:pStyle w:val="3"/>
        <w:spacing w:before="720" w:after="360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r w:rsidRPr="005C29F4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Этап № 3. Рассчитайте ССЧ за отчетный период.</w:t>
      </w:r>
    </w:p>
    <w:p w14:paraId="3A085919" w14:textId="77777777" w:rsidR="001D207A" w:rsidRDefault="001D207A" w:rsidP="001D207A">
      <w:pPr>
        <w:pStyle w:val="a3"/>
        <w:spacing w:before="0" w:beforeAutospacing="0" w:after="30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На данном этапе нужно сложить все показатели, полученные на первом и втором этапах. Полученную сумму разделить на количество месяцев в отчетном периоде: 3 месяца для квартала, 6 — для полугодия, 9 — для 9 месяцев и 12 — для года.</w:t>
      </w:r>
    </w:p>
    <w:p w14:paraId="4F79D098" w14:textId="77777777" w:rsidR="00737070" w:rsidRPr="00737070" w:rsidRDefault="00737070" w:rsidP="00737070">
      <w:pPr>
        <w:spacing w:after="300" w:line="240" w:lineRule="auto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r w:rsidRPr="00737070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Пример. </w:t>
      </w:r>
      <w:r w:rsidRPr="00737070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ООО «Санта» среднесписочная численность работников по месяцам 2022 года следующая:</w:t>
      </w:r>
    </w:p>
    <w:p w14:paraId="0F443FE6" w14:textId="77777777" w:rsidR="00737070" w:rsidRPr="00737070" w:rsidRDefault="00737070" w:rsidP="00737070">
      <w:pPr>
        <w:numPr>
          <w:ilvl w:val="0"/>
          <w:numId w:val="7"/>
        </w:numPr>
        <w:spacing w:before="100" w:beforeAutospacing="1" w:after="133" w:line="240" w:lineRule="auto"/>
        <w:ind w:firstLine="0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r w:rsidRPr="00737070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январь-апрель — по 15 человек;</w:t>
      </w:r>
    </w:p>
    <w:p w14:paraId="48540484" w14:textId="77777777" w:rsidR="00737070" w:rsidRPr="00737070" w:rsidRDefault="00737070" w:rsidP="00737070">
      <w:pPr>
        <w:numPr>
          <w:ilvl w:val="0"/>
          <w:numId w:val="7"/>
        </w:numPr>
        <w:spacing w:before="100" w:beforeAutospacing="1" w:after="133" w:line="240" w:lineRule="auto"/>
        <w:ind w:firstLine="0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r w:rsidRPr="00737070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май — 14 человек;</w:t>
      </w:r>
    </w:p>
    <w:p w14:paraId="5A3E0B00" w14:textId="77777777" w:rsidR="00737070" w:rsidRPr="00737070" w:rsidRDefault="00737070" w:rsidP="00737070">
      <w:pPr>
        <w:numPr>
          <w:ilvl w:val="0"/>
          <w:numId w:val="7"/>
        </w:numPr>
        <w:spacing w:before="100" w:beforeAutospacing="1" w:after="133" w:line="240" w:lineRule="auto"/>
        <w:ind w:firstLine="0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r w:rsidRPr="00737070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июнь-июль — 15 человек;</w:t>
      </w:r>
    </w:p>
    <w:p w14:paraId="1938F10B" w14:textId="77777777" w:rsidR="00737070" w:rsidRPr="00737070" w:rsidRDefault="00737070" w:rsidP="00737070">
      <w:pPr>
        <w:numPr>
          <w:ilvl w:val="0"/>
          <w:numId w:val="7"/>
        </w:numPr>
        <w:spacing w:before="100" w:beforeAutospacing="1" w:after="133" w:line="240" w:lineRule="auto"/>
        <w:ind w:firstLine="0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r w:rsidRPr="00737070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август-декабрь — 18 человек.</w:t>
      </w:r>
    </w:p>
    <w:p w14:paraId="3883F801" w14:textId="77777777" w:rsidR="00737070" w:rsidRPr="00737070" w:rsidRDefault="00737070" w:rsidP="00737070">
      <w:pPr>
        <w:spacing w:after="300" w:line="240" w:lineRule="auto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r w:rsidRPr="00737070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Всего — 15 × 4 + 14 + 15 × 2 + 18 × 5 = 194 человека.</w:t>
      </w:r>
    </w:p>
    <w:p w14:paraId="39CE235E" w14:textId="77777777" w:rsidR="00737070" w:rsidRDefault="00737070" w:rsidP="00737070">
      <w:pPr>
        <w:spacing w:after="0" w:line="240" w:lineRule="auto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r w:rsidRPr="00737070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Среднесписочная численность за год составила 194 / 12 = 16,16 человек. Ее нужно округлить до целого — 16 человек.</w:t>
      </w:r>
    </w:p>
    <w:p w14:paraId="229EBAB7" w14:textId="77777777" w:rsidR="00737070" w:rsidRDefault="00737070" w:rsidP="00737070">
      <w:pPr>
        <w:spacing w:after="0" w:line="240" w:lineRule="auto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</w:p>
    <w:p w14:paraId="5F746CDB" w14:textId="77777777" w:rsidR="00737070" w:rsidRDefault="00737070" w:rsidP="00737070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737070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Если организация работала неполный месяц, среднесписочная численность определяется </w:t>
      </w:r>
      <w:r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так: </w:t>
      </w:r>
      <w:r w:rsidRPr="00737070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дел</w:t>
      </w:r>
      <w:r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им</w:t>
      </w:r>
      <w:r w:rsidRPr="00737070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сумм</w:t>
      </w:r>
      <w:r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у</w:t>
      </w:r>
      <w:r w:rsidRPr="00737070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численности работников списочного состава за все дни работы в отчетном месяце, включая выходные и праздники, на общее число дней в отчетном месяце. </w:t>
      </w:r>
    </w:p>
    <w:p w14:paraId="1659C6A9" w14:textId="26888C20" w:rsidR="00737070" w:rsidRPr="00737070" w:rsidRDefault="00737070" w:rsidP="00737070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737070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Если отработан неполный квартал, то ССЧ определяется путем суммирования ССЧ за все месяцы работы в отчетном квартале </w:t>
      </w:r>
      <w:r w:rsidRPr="00737070">
        <w:rPr>
          <w:rFonts w:ascii="Arial" w:eastAsia="Times New Roman" w:hAnsi="Arial" w:cs="Arial"/>
          <w:color w:val="222222"/>
          <w:sz w:val="27"/>
          <w:szCs w:val="27"/>
          <w:lang w:eastAsia="ru-RU"/>
        </w:rPr>
        <w:lastRenderedPageBreak/>
        <w:t>и деления суммы на 3. Для неполного года (сезонный характер или создание после января) сумма делится на 12.</w:t>
      </w:r>
    </w:p>
    <w:p w14:paraId="0D270BF4" w14:textId="77777777" w:rsidR="00737070" w:rsidRPr="00737070" w:rsidRDefault="00737070" w:rsidP="00737070">
      <w:pPr>
        <w:spacing w:before="840" w:after="480" w:line="240" w:lineRule="auto"/>
        <w:outlineLvl w:val="1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r w:rsidRPr="00737070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Особенности отражения среднесписочной численности в отчетности</w:t>
      </w:r>
    </w:p>
    <w:p w14:paraId="2E0238DA" w14:textId="74B34188" w:rsidR="00737070" w:rsidRPr="00737070" w:rsidRDefault="00737070" w:rsidP="00737070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737070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В </w:t>
      </w:r>
      <w:r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РСВ - </w:t>
      </w:r>
      <w:r w:rsidRPr="00737070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расчете по страховым взносам в поле «Среднесписочная численность (чел.)» укажите сведения о ССЧ.</w:t>
      </w:r>
    </w:p>
    <w:p w14:paraId="264BD94A" w14:textId="77777777" w:rsidR="00737070" w:rsidRPr="00737070" w:rsidRDefault="00737070" w:rsidP="00737070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737070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Если у вашей организации есть обособленные подразделения, их тоже нужно учесть, формируя расчет по месту нахождения головной организации. При этом в РСВ по обособленному подразделению это поле не заполняется.</w:t>
      </w:r>
    </w:p>
    <w:p w14:paraId="46DBBA68" w14:textId="77777777" w:rsidR="00737070" w:rsidRPr="00737070" w:rsidRDefault="00737070" w:rsidP="00737070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737070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В разделе 2 формы ЕФС-1 среднесписочная численность указывается в поле «Среднесписочная численность работников». Она рассчитывается за период с начала года и округляется до целого.</w:t>
      </w:r>
    </w:p>
    <w:p w14:paraId="48B2E701" w14:textId="77777777" w:rsidR="001D207A" w:rsidRDefault="001D207A" w:rsidP="002D37CF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</w:p>
    <w:p w14:paraId="18B4DEC0" w14:textId="77777777" w:rsidR="00EC6ECF" w:rsidRPr="002D37CF" w:rsidRDefault="00EC6ECF" w:rsidP="002D37CF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</w:p>
    <w:p w14:paraId="5D1492B5" w14:textId="77777777" w:rsidR="002D37CF" w:rsidRDefault="002D37CF" w:rsidP="005B3040">
      <w:pPr>
        <w:pStyle w:val="a3"/>
        <w:spacing w:before="0" w:beforeAutospacing="0" w:after="300" w:afterAutospacing="0"/>
        <w:rPr>
          <w:rFonts w:ascii="Arial" w:hAnsi="Arial" w:cs="Arial"/>
          <w:color w:val="222222"/>
          <w:sz w:val="27"/>
          <w:szCs w:val="27"/>
        </w:rPr>
      </w:pPr>
    </w:p>
    <w:p w14:paraId="4284688D" w14:textId="77777777" w:rsidR="002D37CF" w:rsidRDefault="002D37CF" w:rsidP="005B3040">
      <w:pPr>
        <w:pStyle w:val="a3"/>
        <w:spacing w:before="0" w:beforeAutospacing="0" w:after="300" w:afterAutospacing="0"/>
        <w:rPr>
          <w:rFonts w:ascii="Arial" w:hAnsi="Arial" w:cs="Arial"/>
          <w:color w:val="222222"/>
          <w:sz w:val="27"/>
          <w:szCs w:val="27"/>
        </w:rPr>
      </w:pPr>
    </w:p>
    <w:p w14:paraId="47EF70BB" w14:textId="1ADD3CB4" w:rsidR="005B3040" w:rsidRPr="005B3040" w:rsidRDefault="005B3040" w:rsidP="002D37CF">
      <w:pPr>
        <w:pStyle w:val="a3"/>
        <w:spacing w:before="0" w:beforeAutospacing="0" w:after="30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 xml:space="preserve"> </w:t>
      </w:r>
    </w:p>
    <w:p w14:paraId="5FC1636D" w14:textId="77777777" w:rsidR="00456D5F" w:rsidRDefault="00456D5F"/>
    <w:sectPr w:rsidR="00456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7894"/>
    <w:multiLevelType w:val="multilevel"/>
    <w:tmpl w:val="3EFA6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E18FC"/>
    <w:multiLevelType w:val="multilevel"/>
    <w:tmpl w:val="8620E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F93D47"/>
    <w:multiLevelType w:val="multilevel"/>
    <w:tmpl w:val="061A5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B60E99"/>
    <w:multiLevelType w:val="multilevel"/>
    <w:tmpl w:val="6030A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565BAD"/>
    <w:multiLevelType w:val="multilevel"/>
    <w:tmpl w:val="72D83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D74F08"/>
    <w:multiLevelType w:val="multilevel"/>
    <w:tmpl w:val="72C09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C4578B"/>
    <w:multiLevelType w:val="multilevel"/>
    <w:tmpl w:val="5E94D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98310345">
    <w:abstractNumId w:val="3"/>
  </w:num>
  <w:num w:numId="2" w16cid:durableId="1646397116">
    <w:abstractNumId w:val="5"/>
  </w:num>
  <w:num w:numId="3" w16cid:durableId="245696977">
    <w:abstractNumId w:val="2"/>
  </w:num>
  <w:num w:numId="4" w16cid:durableId="1879319947">
    <w:abstractNumId w:val="1"/>
  </w:num>
  <w:num w:numId="5" w16cid:durableId="1563446869">
    <w:abstractNumId w:val="0"/>
  </w:num>
  <w:num w:numId="6" w16cid:durableId="1435399269">
    <w:abstractNumId w:val="4"/>
  </w:num>
  <w:num w:numId="7" w16cid:durableId="7814589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040"/>
    <w:rsid w:val="001D207A"/>
    <w:rsid w:val="002D37CF"/>
    <w:rsid w:val="00456D5F"/>
    <w:rsid w:val="00457054"/>
    <w:rsid w:val="00496953"/>
    <w:rsid w:val="005B3040"/>
    <w:rsid w:val="005C29F4"/>
    <w:rsid w:val="00737070"/>
    <w:rsid w:val="00C079D1"/>
    <w:rsid w:val="00EC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E8A8F"/>
  <w15:chartTrackingRefBased/>
  <w15:docId w15:val="{56CD09B3-B3DD-4C18-8788-992C59870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30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B30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30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0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30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B3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ublication-comments-link">
    <w:name w:val="publication-comments-link"/>
    <w:basedOn w:val="a0"/>
    <w:rsid w:val="005B3040"/>
  </w:style>
  <w:style w:type="character" w:customStyle="1" w:styleId="publication-comments-linkcomments-count">
    <w:name w:val="publication-comments-link__comments-count"/>
    <w:basedOn w:val="a0"/>
    <w:rsid w:val="005B3040"/>
  </w:style>
  <w:style w:type="character" w:styleId="a4">
    <w:name w:val="Hyperlink"/>
    <w:basedOn w:val="a0"/>
    <w:uiPriority w:val="99"/>
    <w:unhideWhenUsed/>
    <w:rsid w:val="005B3040"/>
    <w:rPr>
      <w:color w:val="0000FF"/>
      <w:u w:val="single"/>
    </w:rPr>
  </w:style>
  <w:style w:type="paragraph" w:customStyle="1" w:styleId="lead">
    <w:name w:val="lead"/>
    <w:basedOn w:val="a"/>
    <w:rsid w:val="005B3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B30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457054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2D37CF"/>
    <w:rPr>
      <w:color w:val="605E5C"/>
      <w:shd w:val="clear" w:color="auto" w:fill="E1DFDD"/>
    </w:rPr>
  </w:style>
  <w:style w:type="character" w:styleId="a7">
    <w:name w:val="Strong"/>
    <w:basedOn w:val="a0"/>
    <w:uiPriority w:val="22"/>
    <w:qFormat/>
    <w:rsid w:val="001D207A"/>
    <w:rPr>
      <w:b/>
      <w:bCs/>
    </w:rPr>
  </w:style>
  <w:style w:type="character" w:customStyle="1" w:styleId="sa5-authorname">
    <w:name w:val="sa5-author__name"/>
    <w:basedOn w:val="a0"/>
    <w:rsid w:val="00737070"/>
  </w:style>
  <w:style w:type="character" w:customStyle="1" w:styleId="sa5-authorpost">
    <w:name w:val="sa5-author__post"/>
    <w:basedOn w:val="a0"/>
    <w:rsid w:val="0073707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3707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3707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ubscriptionsubmit">
    <w:name w:val="subscription__submit"/>
    <w:basedOn w:val="a0"/>
    <w:rsid w:val="00737070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3707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37070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069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6111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6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7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2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4610">
                  <w:marLeft w:val="1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04067">
                      <w:marLeft w:val="0"/>
                      <w:marRight w:val="0"/>
                      <w:marTop w:val="0"/>
                      <w:marBottom w:val="8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0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49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15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4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91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2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49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384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9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53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2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0500785">
                  <w:marLeft w:val="0"/>
                  <w:marRight w:val="0"/>
                  <w:marTop w:val="9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0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3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09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419765&amp;rangeId=626168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419765&amp;rangeId=626168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41976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kontur-extern.ru/Files/userfiles/file/info/svedeniya-o-srednespisochnoj-chislennosti-forma-knd.xls" TargetMode="External"/><Relationship Id="rId10" Type="http://schemas.openxmlformats.org/officeDocument/2006/relationships/hyperlink" Target="https://rosstat.gov.ru/entit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419765&amp;rangeId=62616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 ivan</dc:creator>
  <cp:keywords/>
  <dc:description/>
  <cp:lastModifiedBy>ivanov ivan</cp:lastModifiedBy>
  <cp:revision>5</cp:revision>
  <dcterms:created xsi:type="dcterms:W3CDTF">2023-06-26T13:00:00Z</dcterms:created>
  <dcterms:modified xsi:type="dcterms:W3CDTF">2023-06-26T13:47:00Z</dcterms:modified>
</cp:coreProperties>
</file>